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D7DC7">
      <w:pPr>
        <w:jc w:val="center"/>
        <w:rPr>
          <w:rFonts w:ascii="宋体" w:hAnsi="宋体"/>
          <w:b/>
          <w:color w:val="auto"/>
          <w:sz w:val="72"/>
          <w:highlight w:val="none"/>
        </w:rPr>
      </w:pPr>
      <w:r>
        <w:rPr>
          <w:rFonts w:hint="eastAsia" w:ascii="宋体" w:hAnsi="宋体"/>
          <w:b/>
          <w:color w:val="auto"/>
          <w:sz w:val="72"/>
          <w:highlight w:val="none"/>
        </w:rPr>
        <w:t xml:space="preserve">厦 门 市 </w:t>
      </w:r>
      <w:bookmarkStart w:id="13" w:name="_GoBack"/>
      <w:bookmarkEnd w:id="13"/>
      <w:r>
        <w:rPr>
          <w:rFonts w:hint="eastAsia" w:ascii="宋体" w:hAnsi="宋体"/>
          <w:b/>
          <w:color w:val="auto"/>
          <w:sz w:val="72"/>
          <w:highlight w:val="none"/>
        </w:rPr>
        <w:t xml:space="preserve">大 宗 货 物     </w:t>
      </w:r>
    </w:p>
    <w:p w14:paraId="795483FC">
      <w:pPr>
        <w:jc w:val="center"/>
        <w:rPr>
          <w:rFonts w:ascii="宋体" w:hAnsi="宋体"/>
          <w:b/>
          <w:color w:val="auto"/>
          <w:sz w:val="72"/>
          <w:highlight w:val="none"/>
        </w:rPr>
      </w:pPr>
      <w:r>
        <w:rPr>
          <w:rFonts w:hint="eastAsia" w:ascii="宋体" w:hAnsi="宋体"/>
          <w:b/>
          <w:color w:val="auto"/>
          <w:sz w:val="72"/>
          <w:highlight w:val="none"/>
        </w:rPr>
        <w:t xml:space="preserve">政 府 采 购 项 目 </w:t>
      </w:r>
    </w:p>
    <w:p w14:paraId="38709ED3">
      <w:pPr>
        <w:spacing w:line="360" w:lineRule="auto"/>
        <w:jc w:val="center"/>
        <w:rPr>
          <w:rFonts w:ascii="宋体" w:hAnsi="宋体"/>
          <w:b/>
          <w:color w:val="auto"/>
          <w:sz w:val="72"/>
          <w:highlight w:val="none"/>
        </w:rPr>
      </w:pPr>
      <w:r>
        <w:rPr>
          <w:rFonts w:hint="eastAsia" w:ascii="宋体" w:hAnsi="宋体"/>
          <w:b/>
          <w:color w:val="auto"/>
          <w:sz w:val="72"/>
          <w:highlight w:val="none"/>
        </w:rPr>
        <w:t>招   标   文   件</w:t>
      </w:r>
    </w:p>
    <w:p w14:paraId="6AB9EB99">
      <w:pPr>
        <w:spacing w:line="360" w:lineRule="auto"/>
        <w:ind w:firstLine="1438" w:firstLineChars="398"/>
        <w:rPr>
          <w:rFonts w:ascii="宋体" w:hAnsi="宋体"/>
          <w:b/>
          <w:color w:val="auto"/>
          <w:sz w:val="36"/>
          <w:highlight w:val="none"/>
        </w:rPr>
      </w:pPr>
    </w:p>
    <w:p w14:paraId="329ACA28">
      <w:pPr>
        <w:spacing w:line="360" w:lineRule="auto"/>
        <w:ind w:firstLine="1438" w:firstLineChars="398"/>
        <w:rPr>
          <w:rFonts w:ascii="宋体" w:hAnsi="宋体"/>
          <w:b/>
          <w:color w:val="auto"/>
          <w:sz w:val="36"/>
          <w:highlight w:val="none"/>
        </w:rPr>
      </w:pPr>
    </w:p>
    <w:p w14:paraId="436B54B1">
      <w:pPr>
        <w:spacing w:line="360" w:lineRule="auto"/>
        <w:ind w:firstLine="1438" w:firstLineChars="398"/>
        <w:rPr>
          <w:rFonts w:ascii="宋体" w:hAnsi="宋体"/>
          <w:b/>
          <w:color w:val="auto"/>
          <w:sz w:val="36"/>
          <w:highlight w:val="none"/>
        </w:rPr>
      </w:pPr>
    </w:p>
    <w:p w14:paraId="1A407E5F">
      <w:pPr>
        <w:spacing w:line="360" w:lineRule="auto"/>
        <w:ind w:firstLine="1438" w:firstLineChars="398"/>
        <w:rPr>
          <w:rFonts w:ascii="宋体" w:hAnsi="宋体"/>
          <w:b/>
          <w:color w:val="auto"/>
          <w:sz w:val="36"/>
          <w:highlight w:val="none"/>
        </w:rPr>
      </w:pPr>
    </w:p>
    <w:p w14:paraId="26C6CF1D">
      <w:pPr>
        <w:spacing w:line="360" w:lineRule="auto"/>
        <w:ind w:firstLine="1438" w:firstLineChars="398"/>
        <w:rPr>
          <w:rFonts w:ascii="宋体" w:hAnsi="宋体"/>
          <w:b/>
          <w:color w:val="auto"/>
          <w:sz w:val="36"/>
          <w:highlight w:val="none"/>
          <w:u w:val="single"/>
        </w:rPr>
      </w:pPr>
      <w:r>
        <w:rPr>
          <w:rFonts w:hint="eastAsia" w:ascii="宋体" w:hAnsi="宋体"/>
          <w:b/>
          <w:color w:val="auto"/>
          <w:sz w:val="36"/>
          <w:highlight w:val="none"/>
        </w:rPr>
        <w:t>招 标 编 号：</w:t>
      </w:r>
      <w:r>
        <w:rPr>
          <w:rFonts w:hint="eastAsia" w:ascii="宋体" w:hAnsi="宋体"/>
          <w:b/>
          <w:color w:val="auto"/>
          <w:sz w:val="36"/>
          <w:highlight w:val="none"/>
          <w:u w:val="single"/>
        </w:rPr>
        <w:t>XM2026-DZ0</w:t>
      </w:r>
      <w:r>
        <w:rPr>
          <w:rFonts w:hint="eastAsia" w:ascii="宋体" w:hAnsi="宋体"/>
          <w:b/>
          <w:color w:val="auto"/>
          <w:sz w:val="36"/>
          <w:highlight w:val="none"/>
          <w:u w:val="single"/>
        </w:rPr>
        <w:t>003C1</w:t>
      </w:r>
    </w:p>
    <w:p w14:paraId="301C8738">
      <w:pPr>
        <w:spacing w:line="360" w:lineRule="auto"/>
        <w:ind w:left="3948" w:leftChars="684" w:hanging="2512" w:hangingChars="695"/>
        <w:rPr>
          <w:rFonts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rPr>
        <w:t>：2026年大宗喷墨打印机</w:t>
      </w:r>
    </w:p>
    <w:p w14:paraId="1B517541">
      <w:pPr>
        <w:spacing w:line="360" w:lineRule="auto"/>
        <w:ind w:firstLine="1438" w:firstLineChars="398"/>
        <w:rPr>
          <w:rFonts w:ascii="宋体" w:hAnsi="宋体"/>
          <w:b/>
          <w:color w:val="auto"/>
          <w:sz w:val="36"/>
          <w:highlight w:val="none"/>
        </w:rPr>
      </w:pPr>
    </w:p>
    <w:p w14:paraId="476EA6FD">
      <w:pPr>
        <w:spacing w:line="360" w:lineRule="auto"/>
        <w:ind w:firstLine="1438" w:firstLineChars="398"/>
        <w:rPr>
          <w:rFonts w:ascii="宋体" w:hAnsi="宋体"/>
          <w:b/>
          <w:color w:val="auto"/>
          <w:sz w:val="36"/>
          <w:highlight w:val="none"/>
        </w:rPr>
      </w:pPr>
    </w:p>
    <w:p w14:paraId="64A34E6E">
      <w:pPr>
        <w:spacing w:line="360" w:lineRule="auto"/>
        <w:ind w:firstLine="1438" w:firstLineChars="398"/>
        <w:rPr>
          <w:rFonts w:ascii="宋体" w:hAnsi="宋体"/>
          <w:b/>
          <w:color w:val="auto"/>
          <w:sz w:val="36"/>
          <w:highlight w:val="none"/>
        </w:rPr>
      </w:pPr>
    </w:p>
    <w:p w14:paraId="2E272030">
      <w:pPr>
        <w:spacing w:line="360" w:lineRule="auto"/>
        <w:ind w:firstLine="1438" w:firstLineChars="398"/>
        <w:rPr>
          <w:rFonts w:ascii="宋体" w:hAnsi="宋体"/>
          <w:b/>
          <w:color w:val="auto"/>
          <w:sz w:val="36"/>
          <w:highlight w:val="none"/>
        </w:rPr>
      </w:pPr>
    </w:p>
    <w:p w14:paraId="383B4987">
      <w:pPr>
        <w:spacing w:line="360" w:lineRule="auto"/>
        <w:ind w:firstLine="1438" w:firstLineChars="398"/>
        <w:rPr>
          <w:rFonts w:ascii="宋体" w:hAnsi="宋体"/>
          <w:b/>
          <w:color w:val="auto"/>
          <w:sz w:val="36"/>
          <w:highlight w:val="none"/>
        </w:rPr>
      </w:pPr>
    </w:p>
    <w:p w14:paraId="22355366">
      <w:pPr>
        <w:pStyle w:val="5"/>
        <w:spacing w:line="360" w:lineRule="auto"/>
        <w:ind w:firstLine="1438" w:firstLineChars="398"/>
        <w:jc w:val="left"/>
        <w:rPr>
          <w:rFonts w:hAnsi="宋体"/>
          <w:b/>
          <w:color w:val="auto"/>
          <w:spacing w:val="20"/>
          <w:sz w:val="32"/>
          <w:highlight w:val="none"/>
        </w:rPr>
      </w:pPr>
      <w:r>
        <w:rPr>
          <w:rFonts w:hint="eastAsia" w:hAnsi="宋体" w:cs="宋体"/>
          <w:b/>
          <w:color w:val="auto"/>
          <w:spacing w:val="20"/>
          <w:sz w:val="32"/>
          <w:highlight w:val="none"/>
        </w:rPr>
        <w:t>使用单位：</w:t>
      </w:r>
      <w:r>
        <w:rPr>
          <w:rFonts w:hint="eastAsia" w:hAnsi="宋体"/>
          <w:b/>
          <w:color w:val="auto"/>
          <w:spacing w:val="20"/>
          <w:sz w:val="32"/>
          <w:highlight w:val="none"/>
        </w:rPr>
        <w:t>厦门市政府机关事业单位和福建</w:t>
      </w:r>
    </w:p>
    <w:p w14:paraId="25555190">
      <w:pPr>
        <w:pStyle w:val="5"/>
        <w:ind w:firstLine="1445" w:firstLineChars="400"/>
        <w:jc w:val="left"/>
        <w:rPr>
          <w:rFonts w:hAnsi="宋体" w:cs="宋体"/>
          <w:b/>
          <w:color w:val="auto"/>
          <w:spacing w:val="20"/>
          <w:sz w:val="32"/>
          <w:highlight w:val="none"/>
        </w:rPr>
      </w:pPr>
      <w:r>
        <w:rPr>
          <w:rFonts w:hint="eastAsia" w:hAnsi="宋体"/>
          <w:b/>
          <w:color w:val="auto"/>
          <w:spacing w:val="20"/>
          <w:sz w:val="32"/>
          <w:highlight w:val="none"/>
        </w:rPr>
        <w:t>省内其他终端用户</w:t>
      </w:r>
    </w:p>
    <w:p w14:paraId="1A625F3F">
      <w:pPr>
        <w:pStyle w:val="5"/>
        <w:ind w:firstLine="1438" w:firstLineChars="398"/>
        <w:jc w:val="left"/>
        <w:rPr>
          <w:rFonts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46628057">
      <w:pPr>
        <w:pStyle w:val="5"/>
        <w:spacing w:line="360" w:lineRule="auto"/>
        <w:ind w:firstLine="1438" w:firstLineChars="398"/>
        <w:jc w:val="left"/>
        <w:rPr>
          <w:rFonts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3E4ED1BF">
      <w:pPr>
        <w:spacing w:line="360" w:lineRule="auto"/>
        <w:ind w:firstLine="1438" w:firstLineChars="398"/>
        <w:rPr>
          <w:rFonts w:ascii="宋体" w:hAnsi="宋体"/>
          <w:b/>
          <w:color w:val="auto"/>
          <w:sz w:val="36"/>
          <w:highlight w:val="none"/>
        </w:rPr>
      </w:pPr>
    </w:p>
    <w:p w14:paraId="155A6E16">
      <w:pPr>
        <w:pStyle w:val="5"/>
        <w:spacing w:line="360" w:lineRule="auto"/>
        <w:jc w:val="center"/>
        <w:outlineLvl w:val="0"/>
        <w:rPr>
          <w:rFonts w:hAnsi="宋体"/>
          <w:b/>
          <w:color w:val="auto"/>
          <w:sz w:val="32"/>
          <w:highlight w:val="none"/>
        </w:rPr>
      </w:pPr>
      <w:r>
        <w:rPr>
          <w:rFonts w:hint="eastAsia" w:hAnsi="宋体"/>
          <w:b/>
          <w:color w:val="auto"/>
          <w:sz w:val="32"/>
          <w:highlight w:val="none"/>
        </w:rPr>
        <w:t>2026年</w:t>
      </w:r>
    </w:p>
    <w:p w14:paraId="36B3E544">
      <w:pPr>
        <w:pStyle w:val="5"/>
        <w:spacing w:line="360" w:lineRule="auto"/>
        <w:jc w:val="center"/>
        <w:outlineLvl w:val="0"/>
        <w:rPr>
          <w:rFonts w:hAnsi="宋体"/>
          <w:b/>
          <w:color w:val="auto"/>
          <w:sz w:val="32"/>
          <w:highlight w:val="none"/>
        </w:rPr>
      </w:pPr>
    </w:p>
    <w:p w14:paraId="6B522F46">
      <w:pPr>
        <w:pStyle w:val="5"/>
        <w:spacing w:line="360" w:lineRule="auto"/>
        <w:jc w:val="center"/>
        <w:outlineLvl w:val="0"/>
        <w:rPr>
          <w:rFonts w:hAnsi="宋体"/>
          <w:b/>
          <w:color w:val="auto"/>
          <w:sz w:val="32"/>
          <w:highlight w:val="none"/>
        </w:rPr>
      </w:pPr>
    </w:p>
    <w:p w14:paraId="1681EE64">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5ECFFB8D">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3E62DA10">
      <w:pPr>
        <w:rPr>
          <w:rFonts w:ascii="宋体" w:hAnsi="宋体" w:cs="宋体"/>
          <w:color w:val="auto"/>
          <w:sz w:val="24"/>
          <w:szCs w:val="24"/>
          <w:highlight w:val="none"/>
        </w:rPr>
      </w:pPr>
    </w:p>
    <w:p w14:paraId="773BDC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63EB279">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6F0BB2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1FC93C60">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23AD59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01F468B6">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09ECB1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247DCB4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146F84D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1CC98B3A">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3640C88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（五）</w:t>
      </w:r>
      <w:r>
        <w:rPr>
          <w:rFonts w:hint="eastAsia" w:ascii="宋体" w:hAnsi="宋体" w:cs="宋体"/>
          <w:color w:val="auto"/>
          <w:sz w:val="24"/>
          <w:szCs w:val="24"/>
          <w:highlight w:val="none"/>
        </w:rPr>
        <w:t xml:space="preserve">厦门银行股份有限公司 </w:t>
      </w:r>
    </w:p>
    <w:p w14:paraId="0A5024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21BFFA7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0F55C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067CAEEB">
      <w:pPr>
        <w:spacing w:line="360" w:lineRule="auto"/>
        <w:ind w:firstLine="480" w:firstLineChars="200"/>
        <w:rPr>
          <w:rFonts w:ascii="宋体" w:hAnsi="宋体" w:cs="宋体"/>
          <w:color w:val="auto"/>
          <w:sz w:val="24"/>
          <w:szCs w:val="24"/>
          <w:highlight w:val="none"/>
        </w:rPr>
      </w:pPr>
    </w:p>
    <w:p w14:paraId="0633269E">
      <w:pPr>
        <w:spacing w:line="360" w:lineRule="auto"/>
        <w:ind w:firstLine="480" w:firstLineChars="200"/>
        <w:rPr>
          <w:rFonts w:ascii="宋体" w:hAnsi="宋体" w:cs="宋体"/>
          <w:color w:val="auto"/>
          <w:sz w:val="24"/>
          <w:szCs w:val="24"/>
          <w:highlight w:val="none"/>
        </w:rPr>
      </w:pPr>
    </w:p>
    <w:p w14:paraId="62404F9E">
      <w:pPr>
        <w:spacing w:line="360" w:lineRule="auto"/>
        <w:ind w:firstLine="480" w:firstLineChars="200"/>
        <w:rPr>
          <w:rFonts w:ascii="宋体" w:hAnsi="宋体" w:cs="宋体"/>
          <w:color w:val="auto"/>
          <w:sz w:val="24"/>
          <w:szCs w:val="24"/>
          <w:highlight w:val="none"/>
        </w:rPr>
      </w:pPr>
    </w:p>
    <w:p w14:paraId="0C8E7777">
      <w:pPr>
        <w:spacing w:line="360" w:lineRule="auto"/>
        <w:ind w:firstLine="480" w:firstLineChars="200"/>
        <w:rPr>
          <w:rFonts w:ascii="宋体" w:hAnsi="宋体" w:cs="宋体"/>
          <w:color w:val="auto"/>
          <w:sz w:val="24"/>
          <w:szCs w:val="24"/>
          <w:highlight w:val="none"/>
        </w:rPr>
      </w:pPr>
    </w:p>
    <w:p w14:paraId="2A32E7BA">
      <w:pPr>
        <w:spacing w:line="360" w:lineRule="auto"/>
        <w:rPr>
          <w:rFonts w:ascii="宋体" w:hAnsi="宋体" w:cs="宋体"/>
          <w:color w:val="auto"/>
          <w:sz w:val="24"/>
          <w:szCs w:val="24"/>
          <w:highlight w:val="none"/>
        </w:rPr>
      </w:pPr>
    </w:p>
    <w:p w14:paraId="3CE4A4EA">
      <w:pPr>
        <w:pStyle w:val="5"/>
        <w:spacing w:line="360" w:lineRule="auto"/>
        <w:jc w:val="center"/>
        <w:outlineLvl w:val="0"/>
        <w:rPr>
          <w:rFonts w:hAnsi="宋体" w:cs="宋体"/>
          <w:b/>
          <w:bCs/>
          <w:color w:val="auto"/>
          <w:sz w:val="32"/>
          <w:szCs w:val="32"/>
          <w:highlight w:val="none"/>
        </w:rPr>
      </w:pPr>
      <w:r>
        <w:rPr>
          <w:rFonts w:hint="eastAsia" w:hAnsi="宋体" w:cs="宋体"/>
          <w:b/>
          <w:bCs/>
          <w:color w:val="auto"/>
          <w:sz w:val="32"/>
          <w:szCs w:val="32"/>
          <w:highlight w:val="none"/>
        </w:rPr>
        <w:t xml:space="preserve">  目   录</w:t>
      </w:r>
    </w:p>
    <w:p w14:paraId="6B69F86A">
      <w:pPr>
        <w:pStyle w:val="2"/>
        <w:snapToGrid w:val="0"/>
        <w:spacing w:line="360" w:lineRule="auto"/>
        <w:ind w:firstLine="0"/>
        <w:rPr>
          <w:rFonts w:ascii="宋体" w:hAnsi="宋体" w:cs="宋体"/>
          <w:color w:val="auto"/>
          <w:sz w:val="24"/>
          <w:szCs w:val="24"/>
          <w:highlight w:val="none"/>
        </w:rPr>
      </w:pPr>
    </w:p>
    <w:p w14:paraId="591F5439">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17AD44EB">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37771557">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455A6B7B">
      <w:pPr>
        <w:spacing w:line="360" w:lineRule="auto"/>
        <w:ind w:firstLine="240" w:firstLineChars="1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5CA33156">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一、 说明 ………………………………………………………2-2-1</w:t>
      </w:r>
    </w:p>
    <w:p w14:paraId="5D130707">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501FEAEF">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7DC8E492">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1FF4AAAA">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3814C706">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0D03E624">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七、 意外情况的处理  ……………………………………  2-2-15</w:t>
      </w:r>
    </w:p>
    <w:p w14:paraId="5FF362CF">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18F55BE8">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第四章    </w:t>
      </w:r>
      <w:r>
        <w:rPr>
          <w:rFonts w:hint="eastAsia" w:ascii="宋体" w:hAnsi="宋体" w:cs="宋体"/>
          <w:b w:val="0"/>
          <w:color w:val="auto"/>
          <w:sz w:val="24"/>
          <w:szCs w:val="24"/>
          <w:highlight w:val="none"/>
        </w:rPr>
        <w:t>政府采购货物采购合同</w:t>
      </w:r>
      <w:r>
        <w:rPr>
          <w:rFonts w:hint="eastAsia" w:ascii="宋体" w:hAnsi="宋体" w:cs="宋体"/>
          <w:color w:val="auto"/>
          <w:sz w:val="24"/>
          <w:szCs w:val="24"/>
          <w:highlight w:val="none"/>
        </w:rPr>
        <w:t>……………………4-1</w:t>
      </w:r>
    </w:p>
    <w:p w14:paraId="0DA1B692">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347E642B">
      <w:pPr>
        <w:pStyle w:val="2"/>
        <w:spacing w:line="360" w:lineRule="auto"/>
        <w:ind w:firstLine="2250" w:firstLineChars="934"/>
        <w:rPr>
          <w:rFonts w:ascii="宋体" w:hAnsi="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78667BD7">
      <w:pPr>
        <w:pStyle w:val="17"/>
        <w:spacing w:line="360" w:lineRule="auto"/>
        <w:jc w:val="center"/>
        <w:rPr>
          <w:rFonts w:hAnsi="宋体" w:cs="宋体"/>
          <w:b/>
          <w:bCs/>
          <w:color w:val="auto"/>
          <w:sz w:val="32"/>
          <w:szCs w:val="32"/>
          <w:highlight w:val="none"/>
        </w:rPr>
      </w:pPr>
      <w:r>
        <w:rPr>
          <w:rFonts w:hint="eastAsia" w:hAnsi="宋体" w:cs="宋体"/>
          <w:b/>
          <w:color w:val="auto"/>
          <w:sz w:val="32"/>
          <w:szCs w:val="32"/>
          <w:highlight w:val="none"/>
        </w:rPr>
        <w:t>第一章  投标邀请函</w:t>
      </w:r>
    </w:p>
    <w:p w14:paraId="393A3B8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厦门万翔招标有限公司</w:t>
      </w:r>
      <w:r>
        <w:rPr>
          <w:rFonts w:hint="eastAsia" w:ascii="宋体" w:hAnsi="宋体" w:cs="宋体"/>
          <w:color w:val="auto"/>
          <w:sz w:val="24"/>
          <w:szCs w:val="24"/>
          <w:highlight w:val="none"/>
        </w:rPr>
        <w:t>对</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2026年大宗喷墨打印机采购】</w:t>
      </w:r>
      <w:r>
        <w:rPr>
          <w:rFonts w:hint="eastAsia" w:ascii="宋体" w:hAnsi="宋体" w:cs="宋体"/>
          <w:color w:val="auto"/>
          <w:sz w:val="24"/>
          <w:szCs w:val="24"/>
          <w:highlight w:val="none"/>
        </w:rPr>
        <w:t>货物（或服务）进行国内公开招标，现欢迎国内合格的投标人前来投标。</w:t>
      </w:r>
    </w:p>
    <w:p w14:paraId="7BEA74F2">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rPr>
        <w:t>XM2026-DZ0003C1。</w:t>
      </w:r>
    </w:p>
    <w:p w14:paraId="56074B97">
      <w:pPr>
        <w:spacing w:line="360" w:lineRule="auto"/>
        <w:ind w:firstLine="424" w:firstLineChars="200"/>
        <w:rPr>
          <w:rFonts w:ascii="宋体" w:hAnsi="宋体" w:cs="宋体"/>
          <w:color w:val="auto"/>
          <w:spacing w:val="-14"/>
          <w:sz w:val="24"/>
          <w:szCs w:val="24"/>
          <w:highlight w:val="none"/>
        </w:rPr>
      </w:pPr>
      <w:r>
        <w:rPr>
          <w:rFonts w:hint="eastAsia" w:ascii="宋体" w:hAnsi="宋体" w:cs="宋体"/>
          <w:color w:val="auto"/>
          <w:spacing w:val="-14"/>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14"/>
          <w:sz w:val="24"/>
          <w:szCs w:val="24"/>
          <w:highlight w:val="none"/>
        </w:rPr>
        <w:t>服务）</w:t>
      </w:r>
      <w:r>
        <w:rPr>
          <w:rFonts w:hint="eastAsia" w:ascii="宋体" w:hAnsi="宋体" w:cs="宋体"/>
          <w:color w:val="auto"/>
          <w:sz w:val="24"/>
          <w:szCs w:val="24"/>
          <w:highlight w:val="none"/>
        </w:rPr>
        <w:t>一览表。</w:t>
      </w:r>
    </w:p>
    <w:p w14:paraId="52980E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2026年</w:t>
      </w:r>
      <w:r>
        <w:rPr>
          <w:rFonts w:hint="eastAsia" w:ascii="宋体" w:hAnsi="宋体" w:cs="宋体"/>
          <w:bCs/>
          <w:color w:val="auto"/>
          <w:sz w:val="24"/>
          <w:szCs w:val="24"/>
          <w:highlight w:val="none"/>
          <w:lang w:val="en-US" w:eastAsia="zh-CN"/>
        </w:rPr>
        <w:t>03</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18</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03</w:t>
      </w:r>
      <w:r>
        <w:rPr>
          <w:rFonts w:hint="eastAsia" w:ascii="宋体" w:hAnsi="宋体" w:cs="宋体"/>
          <w:color w:val="auto"/>
          <w:sz w:val="24"/>
          <w:szCs w:val="24"/>
          <w:highlight w:val="none"/>
        </w:rPr>
        <w:t>日</w:t>
      </w:r>
      <w:r>
        <w:rPr>
          <w:rFonts w:hint="eastAsia" w:ascii="宋体" w:hAnsi="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14:paraId="7FBA123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172E56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105DE4F8">
      <w:pPr>
        <w:pStyle w:val="5"/>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4、招标文件售价：</w:t>
      </w:r>
      <w:r>
        <w:rPr>
          <w:rFonts w:hint="eastAsia" w:hAnsi="宋体" w:cs="宋体"/>
          <w:color w:val="auto"/>
          <w:sz w:val="24"/>
          <w:szCs w:val="24"/>
          <w:highlight w:val="none"/>
        </w:rPr>
        <w:t>每个合同包</w:t>
      </w:r>
      <w:r>
        <w:rPr>
          <w:rFonts w:hint="eastAsia" w:hAnsi="宋体" w:cs="宋体"/>
          <w:color w:val="auto"/>
          <w:sz w:val="24"/>
          <w:szCs w:val="24"/>
          <w:highlight w:val="none"/>
          <w:u w:val="single"/>
        </w:rPr>
        <w:t xml:space="preserve"> 0 </w:t>
      </w:r>
      <w:r>
        <w:rPr>
          <w:rFonts w:hint="eastAsia" w:hAnsi="宋体" w:cs="宋体"/>
          <w:color w:val="auto"/>
          <w:sz w:val="24"/>
          <w:szCs w:val="24"/>
          <w:highlight w:val="none"/>
        </w:rPr>
        <w:t>元人民币</w:t>
      </w:r>
      <w:r>
        <w:rPr>
          <w:rFonts w:hint="eastAsia" w:hAnsi="宋体" w:cs="宋体"/>
          <w:color w:val="auto"/>
          <w:sz w:val="24"/>
          <w:szCs w:val="24"/>
          <w:highlight w:val="none"/>
        </w:rPr>
        <w:t>，售后不退。</w:t>
      </w:r>
    </w:p>
    <w:p w14:paraId="712F543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5、投标截止时间：投标文件应于</w:t>
      </w: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08</w:t>
      </w:r>
      <w:r>
        <w:rPr>
          <w:rFonts w:hint="eastAsia" w:ascii="宋体" w:hAnsi="宋体" w:cs="宋体"/>
          <w:color w:val="auto"/>
          <w:sz w:val="24"/>
          <w:szCs w:val="24"/>
          <w:highlight w:val="none"/>
        </w:rPr>
        <w:t>日上午9：</w:t>
      </w:r>
      <w:r>
        <w:rPr>
          <w:rFonts w:hint="eastAsia" w:ascii="宋体" w:hAnsi="宋体" w:cs="宋体"/>
          <w:color w:val="auto"/>
          <w:sz w:val="24"/>
          <w:szCs w:val="24"/>
          <w:highlight w:val="none"/>
          <w:lang w:val="en-US" w:eastAsia="zh-CN"/>
        </w:rPr>
        <w:t>45</w:t>
      </w:r>
      <w:r>
        <w:rPr>
          <w:rFonts w:hint="eastAsia" w:ascii="宋体" w:hAnsi="宋体" w:cs="宋体"/>
          <w:color w:val="auto"/>
          <w:sz w:val="24"/>
          <w:szCs w:val="24"/>
          <w:highlight w:val="none"/>
        </w:rPr>
        <w:t>（北京时间）之前登录厦门招投标网上传投标文件。已上传但未提示上传成功的投标无效。</w:t>
      </w:r>
    </w:p>
    <w:p w14:paraId="2E7C1801">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A、网上投标详见厦门招投标网－办事指南－操作手册—《供应商招标项目操作手册》。</w:t>
      </w:r>
    </w:p>
    <w:p w14:paraId="32285C9C">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0E7B1F30">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6、开标时间:</w:t>
      </w: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08</w:t>
      </w:r>
      <w:r>
        <w:rPr>
          <w:rFonts w:hint="eastAsia" w:ascii="宋体" w:hAnsi="宋体" w:cs="宋体"/>
          <w:color w:val="auto"/>
          <w:sz w:val="24"/>
          <w:szCs w:val="24"/>
          <w:highlight w:val="none"/>
        </w:rPr>
        <w:t>日上午9：</w:t>
      </w:r>
      <w:r>
        <w:rPr>
          <w:rFonts w:hint="eastAsia" w:ascii="宋体" w:hAnsi="宋体" w:cs="宋体"/>
          <w:color w:val="auto"/>
          <w:sz w:val="24"/>
          <w:szCs w:val="24"/>
          <w:highlight w:val="none"/>
          <w:lang w:val="en-US" w:eastAsia="zh-CN"/>
        </w:rPr>
        <w:t>45</w:t>
      </w:r>
      <w:r>
        <w:rPr>
          <w:rFonts w:hint="eastAsia" w:ascii="宋体" w:hAnsi="宋体" w:cs="宋体"/>
          <w:color w:val="auto"/>
          <w:sz w:val="24"/>
          <w:szCs w:val="24"/>
          <w:highlight w:val="none"/>
        </w:rPr>
        <w:t>（北京时间）于厦门招投标网进行公开开标。投标人可登陆厦门招投标网查看开标全过程。</w:t>
      </w:r>
    </w:p>
    <w:p w14:paraId="450C5E87">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7、本项目</w:t>
      </w:r>
      <w:r>
        <w:rPr>
          <w:rFonts w:hint="eastAsia" w:ascii="宋体" w:hAnsi="宋体" w:cs="宋体"/>
          <w:color w:val="auto"/>
          <w:sz w:val="24"/>
          <w:szCs w:val="24"/>
          <w:highlight w:val="none"/>
        </w:rPr>
        <w:t>（接受）</w:t>
      </w:r>
      <w:r>
        <w:rPr>
          <w:rFonts w:hint="eastAsia" w:ascii="宋体" w:hAnsi="宋体" w:cs="宋体"/>
          <w:color w:val="auto"/>
          <w:sz w:val="24"/>
          <w:szCs w:val="24"/>
          <w:highlight w:val="none"/>
        </w:rPr>
        <w:t>联合体投标。</w:t>
      </w:r>
    </w:p>
    <w:p w14:paraId="522118DA">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2FE3FCA3">
      <w:pPr>
        <w:spacing w:line="360" w:lineRule="auto"/>
        <w:ind w:firstLine="360" w:firstLineChars="15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37A5443D">
      <w:pPr>
        <w:spacing w:line="360" w:lineRule="auto"/>
        <w:ind w:firstLine="360" w:firstLineChars="150"/>
        <w:rPr>
          <w:rFonts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厦门万翔招标有限公司</w:t>
      </w:r>
      <w:r>
        <w:rPr>
          <w:rFonts w:hint="eastAsia" w:ascii="宋体" w:hAnsi="宋体" w:cs="宋体"/>
          <w:bCs/>
          <w:color w:val="auto"/>
          <w:sz w:val="24"/>
          <w:szCs w:val="24"/>
          <w:highlight w:val="none"/>
        </w:rPr>
        <w:t>将通过福建省政府采购网、厦门招投标网等媒体发布通知信息，请投标人关注。</w:t>
      </w:r>
      <w:r>
        <w:rPr>
          <w:rFonts w:hint="eastAsia" w:ascii="宋体" w:hAnsi="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6089ACDA">
      <w:pPr>
        <w:spacing w:line="360" w:lineRule="auto"/>
        <w:ind w:firstLine="361" w:firstLineChars="150"/>
        <w:rPr>
          <w:rFonts w:ascii="宋体" w:hAnsi="宋体" w:cs="宋体"/>
          <w:b/>
          <w:color w:val="auto"/>
          <w:sz w:val="24"/>
          <w:szCs w:val="24"/>
          <w:highlight w:val="none"/>
        </w:rPr>
      </w:pPr>
      <w:r>
        <w:rPr>
          <w:rFonts w:hint="eastAsia" w:ascii="宋体" w:hAnsi="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cs="宋体"/>
          <w:b/>
          <w:color w:val="auto"/>
          <w:sz w:val="24"/>
          <w:szCs w:val="24"/>
          <w:highlight w:val="none"/>
        </w:rPr>
        <w:t>购买招标文件和递交投标文件。</w:t>
      </w:r>
    </w:p>
    <w:p w14:paraId="0C7D488A">
      <w:pPr>
        <w:spacing w:line="360" w:lineRule="auto"/>
        <w:ind w:firstLine="360" w:firstLineChars="150"/>
        <w:rPr>
          <w:rFonts w:ascii="宋体" w:hAnsi="宋体" w:cs="宋体"/>
          <w:color w:val="auto"/>
          <w:sz w:val="24"/>
          <w:szCs w:val="24"/>
          <w:highlight w:val="none"/>
          <w:u w:val="single"/>
        </w:rPr>
      </w:pPr>
      <w:r>
        <w:rPr>
          <w:rFonts w:hint="eastAsia" w:ascii="宋体" w:hAnsi="宋体" w:cs="宋体"/>
          <w:color w:val="auto"/>
          <w:sz w:val="24"/>
          <w:szCs w:val="24"/>
          <w:highlight w:val="none"/>
        </w:rPr>
        <w:t>10、投标人对本次招标活动事项提出疑问的，请在投标截止时间十五日之前，登录厦门招投标网与招标代理机构联系。来函请加盖单位公章，并提供联系人、联系电话及传真号码。</w:t>
      </w:r>
    </w:p>
    <w:p w14:paraId="4E7223A6">
      <w:pPr>
        <w:tabs>
          <w:tab w:val="left" w:pos="1140"/>
        </w:tabs>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11、各有关联系方式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07AC66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4F02082C">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vAlign w:val="center"/>
          </w:tcPr>
          <w:p w14:paraId="52366755">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097" w:type="dxa"/>
            <w:vAlign w:val="center"/>
          </w:tcPr>
          <w:p w14:paraId="7515A61F">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190" w:type="dxa"/>
            <w:vAlign w:val="center"/>
          </w:tcPr>
          <w:p w14:paraId="46569B4C">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3276" w:type="dxa"/>
            <w:vAlign w:val="center"/>
          </w:tcPr>
          <w:p w14:paraId="53E01D90">
            <w:pPr>
              <w:spacing w:line="360" w:lineRule="auto"/>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34DF6A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7CBC245B">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vAlign w:val="center"/>
          </w:tcPr>
          <w:p w14:paraId="04C52007">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097" w:type="dxa"/>
            <w:vAlign w:val="center"/>
          </w:tcPr>
          <w:p w14:paraId="76A9895D">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徐先生、陈</w:t>
            </w:r>
            <w:r>
              <w:rPr>
                <w:rFonts w:hint="eastAsia" w:ascii="宋体" w:hAnsi="宋体" w:cs="宋体"/>
                <w:color w:val="auto"/>
                <w:kern w:val="0"/>
                <w:sz w:val="24"/>
                <w:szCs w:val="24"/>
                <w:highlight w:val="none"/>
              </w:rPr>
              <w:t>小姐</w:t>
            </w:r>
          </w:p>
        </w:tc>
        <w:tc>
          <w:tcPr>
            <w:tcW w:w="3190" w:type="dxa"/>
            <w:vAlign w:val="center"/>
          </w:tcPr>
          <w:p w14:paraId="02067CD6">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3276" w:type="dxa"/>
            <w:vAlign w:val="center"/>
          </w:tcPr>
          <w:p w14:paraId="545C0AAE">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0DC0BD39">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7B4232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1C32C612">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vAlign w:val="center"/>
          </w:tcPr>
          <w:p w14:paraId="2F2D620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097" w:type="dxa"/>
            <w:vAlign w:val="center"/>
          </w:tcPr>
          <w:p w14:paraId="259C2324">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190" w:type="dxa"/>
            <w:vAlign w:val="center"/>
          </w:tcPr>
          <w:p w14:paraId="3243B00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3276" w:type="dxa"/>
            <w:vAlign w:val="center"/>
          </w:tcPr>
          <w:p w14:paraId="6FED71C6">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4D5579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9F6D03E">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vAlign w:val="center"/>
          </w:tcPr>
          <w:p w14:paraId="02D3137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097" w:type="dxa"/>
            <w:vAlign w:val="center"/>
          </w:tcPr>
          <w:p w14:paraId="423D4235">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190" w:type="dxa"/>
            <w:vAlign w:val="center"/>
          </w:tcPr>
          <w:p w14:paraId="3134ED7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3276" w:type="dxa"/>
            <w:vAlign w:val="center"/>
          </w:tcPr>
          <w:p w14:paraId="0F183B86">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w:t>
            </w:r>
            <w:r>
              <w:rPr>
                <w:rFonts w:hint="eastAsia" w:ascii="宋体" w:hAnsi="宋体" w:cs="宋体"/>
                <w:color w:val="auto"/>
                <w:sz w:val="24"/>
                <w:szCs w:val="24"/>
                <w:highlight w:val="none"/>
              </w:rPr>
              <w:t xml:space="preserve"> </w:t>
            </w:r>
            <w:r>
              <w:rPr>
                <w:rFonts w:hint="eastAsia" w:ascii="宋体" w:hAnsi="宋体" w:cs="宋体"/>
                <w:color w:val="auto"/>
                <w:kern w:val="0"/>
                <w:sz w:val="24"/>
                <w:szCs w:val="24"/>
                <w:highlight w:val="none"/>
              </w:rPr>
              <w:t>5703367</w:t>
            </w:r>
          </w:p>
        </w:tc>
      </w:tr>
      <w:tr w14:paraId="41D277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11EADAE6">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vAlign w:val="center"/>
          </w:tcPr>
          <w:p w14:paraId="0025D21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监督</w:t>
            </w:r>
          </w:p>
        </w:tc>
        <w:tc>
          <w:tcPr>
            <w:tcW w:w="1097" w:type="dxa"/>
            <w:vAlign w:val="center"/>
          </w:tcPr>
          <w:p w14:paraId="07F08AE6">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190" w:type="dxa"/>
            <w:vAlign w:val="center"/>
          </w:tcPr>
          <w:p w14:paraId="2859C49B">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3276" w:type="dxa"/>
            <w:vAlign w:val="center"/>
          </w:tcPr>
          <w:p w14:paraId="58AAFC8D">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6B254D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3E21D8D3">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vAlign w:val="center"/>
          </w:tcPr>
          <w:p w14:paraId="3D3520A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097" w:type="dxa"/>
            <w:vAlign w:val="center"/>
          </w:tcPr>
          <w:p w14:paraId="3219825A">
            <w:pPr>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190" w:type="dxa"/>
            <w:vAlign w:val="center"/>
          </w:tcPr>
          <w:p w14:paraId="5CF1C95A">
            <w:pPr>
              <w:spacing w:line="360" w:lineRule="auto"/>
              <w:rPr>
                <w:rFonts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3276" w:type="dxa"/>
            <w:vAlign w:val="center"/>
          </w:tcPr>
          <w:p w14:paraId="35B2AAA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电话0592-2218761</w:t>
            </w:r>
          </w:p>
          <w:p w14:paraId="62445CC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3B437E5E">
            <w:pPr>
              <w:spacing w:line="360" w:lineRule="auto"/>
              <w:rPr>
                <w:rFonts w:ascii="宋体" w:hAnsi="宋体" w:cs="宋体"/>
                <w:color w:val="auto"/>
                <w:sz w:val="24"/>
                <w:szCs w:val="24"/>
                <w:highlight w:val="none"/>
              </w:rPr>
            </w:pPr>
            <w:r>
              <w:rPr>
                <w:color w:val="auto"/>
                <w:highlight w:val="none"/>
              </w:rPr>
              <w:fldChar w:fldCharType="begin"/>
            </w:r>
            <w:r>
              <w:rPr>
                <w:color w:val="auto"/>
                <w:highlight w:val="none"/>
              </w:rPr>
              <w:instrText xml:space="preserve"> HYPERLINK "mailto:邮箱hcq@iport.com.cn" </w:instrText>
            </w:r>
            <w:r>
              <w:rPr>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5E8262FD">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650E2A6C">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12、投标保证金及代理服务费缴交账户：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5A588A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70" w:hRule="atLeast"/>
          <w:jc w:val="center"/>
        </w:trPr>
        <w:tc>
          <w:tcPr>
            <w:tcW w:w="1326" w:type="dxa"/>
            <w:vAlign w:val="center"/>
          </w:tcPr>
          <w:p w14:paraId="5A02C6E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vAlign w:val="center"/>
          </w:tcPr>
          <w:p w14:paraId="301D6E27">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vAlign w:val="center"/>
          </w:tcPr>
          <w:p w14:paraId="355D4C5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7B80F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4E5B8D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vAlign w:val="center"/>
          </w:tcPr>
          <w:p w14:paraId="332DCB1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6240FD7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44DEDC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3B36786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vAlign w:val="center"/>
          </w:tcPr>
          <w:p w14:paraId="3412505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5E3CEF4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1819E2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45954B8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vAlign w:val="center"/>
          </w:tcPr>
          <w:p w14:paraId="5B01B76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12D4E223">
      <w:pPr>
        <w:tabs>
          <w:tab w:val="left" w:pos="1140"/>
        </w:tabs>
        <w:spacing w:line="360" w:lineRule="auto"/>
        <w:ind w:firstLine="480" w:firstLineChars="200"/>
        <w:rPr>
          <w:rFonts w:ascii="宋体" w:hAnsi="宋体" w:cs="宋体"/>
          <w:color w:val="auto"/>
          <w:sz w:val="24"/>
          <w:szCs w:val="24"/>
          <w:highlight w:val="none"/>
        </w:rPr>
      </w:pPr>
    </w:p>
    <w:p w14:paraId="006EE42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7732A677">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13、注意事项：</w:t>
      </w:r>
    </w:p>
    <w:p w14:paraId="18E5E9DD">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项目中标供应商服务费发票将以邮件方式发送至购标指定邮箱。</w:t>
      </w:r>
    </w:p>
    <w:p w14:paraId="50235CD3">
      <w:pPr>
        <w:numPr>
          <w:ilvl w:val="255"/>
          <w:numId w:val="0"/>
        </w:numPr>
        <w:spacing w:line="360" w:lineRule="auto"/>
        <w:ind w:firstLine="0" w:firstLineChars="0"/>
        <w:rPr>
          <w:rFonts w:ascii="宋体" w:hAnsi="宋体" w:cs="宋体"/>
          <w:color w:val="auto"/>
          <w:sz w:val="24"/>
          <w:szCs w:val="24"/>
          <w:highlight w:val="none"/>
        </w:rPr>
      </w:pPr>
    </w:p>
    <w:p w14:paraId="373FB8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招标代理机构：厦门万翔招标有限公司 </w:t>
      </w:r>
    </w:p>
    <w:p w14:paraId="4C283FD8">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1215754B">
      <w:pPr>
        <w:tabs>
          <w:tab w:val="left" w:pos="2775"/>
        </w:tabs>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邮  编： 361006</w:t>
      </w:r>
    </w:p>
    <w:p w14:paraId="1AE0A9D9">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合同款项事宜联系人：</w:t>
      </w:r>
      <w:r>
        <w:rPr>
          <w:rFonts w:ascii="宋体" w:hAnsi="宋体" w:cs="宋体"/>
          <w:color w:val="auto"/>
          <w:sz w:val="24"/>
          <w:szCs w:val="24"/>
          <w:highlight w:val="none"/>
        </w:rPr>
        <w:t>许可0592-5721293</w:t>
      </w:r>
    </w:p>
    <w:p w14:paraId="542E178F">
      <w:pPr>
        <w:tabs>
          <w:tab w:val="left" w:pos="2775"/>
        </w:tabs>
        <w:spacing w:line="360" w:lineRule="auto"/>
        <w:ind w:firstLine="480"/>
        <w:rPr>
          <w:rFonts w:ascii="宋体" w:hAnsi="宋体" w:cs="宋体"/>
          <w:color w:val="auto"/>
          <w:sz w:val="24"/>
          <w:szCs w:val="24"/>
          <w:highlight w:val="none"/>
        </w:rPr>
      </w:pPr>
    </w:p>
    <w:p w14:paraId="05C4490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89DB736">
      <w:pPr>
        <w:spacing w:line="360" w:lineRule="auto"/>
        <w:rPr>
          <w:rFonts w:ascii="宋体" w:hAnsi="宋体" w:cs="宋体"/>
          <w:color w:val="auto"/>
          <w:sz w:val="24"/>
          <w:szCs w:val="24"/>
          <w:highlight w:val="none"/>
        </w:rPr>
      </w:pPr>
    </w:p>
    <w:p w14:paraId="499D638B">
      <w:pPr>
        <w:spacing w:line="360" w:lineRule="auto"/>
        <w:rPr>
          <w:rFonts w:ascii="宋体" w:hAnsi="宋体" w:cs="宋体"/>
          <w:color w:val="auto"/>
          <w:sz w:val="24"/>
          <w:szCs w:val="24"/>
          <w:highlight w:val="none"/>
        </w:rPr>
      </w:pPr>
    </w:p>
    <w:p w14:paraId="21BB9529">
      <w:pPr>
        <w:spacing w:line="360" w:lineRule="auto"/>
        <w:rPr>
          <w:rFonts w:ascii="宋体" w:hAnsi="宋体" w:cs="宋体"/>
          <w:color w:val="auto"/>
          <w:sz w:val="24"/>
          <w:szCs w:val="24"/>
          <w:highlight w:val="none"/>
        </w:rPr>
      </w:pPr>
    </w:p>
    <w:p w14:paraId="46A85F6D">
      <w:pPr>
        <w:spacing w:line="360" w:lineRule="auto"/>
        <w:rPr>
          <w:rFonts w:ascii="宋体" w:hAnsi="宋体" w:cs="宋体"/>
          <w:color w:val="auto"/>
          <w:sz w:val="24"/>
          <w:szCs w:val="24"/>
          <w:highlight w:val="none"/>
        </w:rPr>
      </w:pPr>
    </w:p>
    <w:p w14:paraId="0974863C">
      <w:pPr>
        <w:spacing w:line="360" w:lineRule="auto"/>
        <w:rPr>
          <w:rFonts w:ascii="宋体" w:hAnsi="宋体" w:cs="宋体"/>
          <w:color w:val="auto"/>
          <w:sz w:val="24"/>
          <w:szCs w:val="24"/>
          <w:highlight w:val="none"/>
        </w:rPr>
      </w:pPr>
    </w:p>
    <w:p w14:paraId="0090BC46">
      <w:pPr>
        <w:spacing w:line="360" w:lineRule="auto"/>
        <w:rPr>
          <w:rFonts w:ascii="宋体" w:hAnsi="宋体" w:cs="宋体"/>
          <w:color w:val="auto"/>
          <w:sz w:val="24"/>
          <w:szCs w:val="24"/>
          <w:highlight w:val="none"/>
        </w:rPr>
      </w:pPr>
    </w:p>
    <w:p w14:paraId="34DCF72D">
      <w:pPr>
        <w:spacing w:line="360" w:lineRule="auto"/>
        <w:rPr>
          <w:rFonts w:ascii="宋体" w:hAnsi="宋体" w:cs="宋体"/>
          <w:color w:val="auto"/>
          <w:sz w:val="24"/>
          <w:szCs w:val="24"/>
          <w:highlight w:val="none"/>
        </w:rPr>
      </w:pPr>
    </w:p>
    <w:p w14:paraId="37A8C47E">
      <w:pPr>
        <w:spacing w:line="360" w:lineRule="auto"/>
        <w:rPr>
          <w:rFonts w:ascii="宋体" w:hAnsi="宋体" w:cs="宋体"/>
          <w:color w:val="auto"/>
          <w:sz w:val="24"/>
          <w:szCs w:val="24"/>
          <w:highlight w:val="none"/>
        </w:rPr>
      </w:pPr>
    </w:p>
    <w:p w14:paraId="2F14C2E1">
      <w:pPr>
        <w:spacing w:line="360" w:lineRule="auto"/>
        <w:rPr>
          <w:rFonts w:ascii="宋体" w:hAnsi="宋体" w:cs="宋体"/>
          <w:color w:val="auto"/>
          <w:sz w:val="24"/>
          <w:szCs w:val="24"/>
          <w:highlight w:val="none"/>
        </w:rPr>
      </w:pPr>
    </w:p>
    <w:p w14:paraId="2BCFCDB8">
      <w:pPr>
        <w:spacing w:line="360" w:lineRule="auto"/>
        <w:rPr>
          <w:rFonts w:ascii="宋体" w:hAnsi="宋体" w:cs="宋体"/>
          <w:color w:val="auto"/>
          <w:sz w:val="24"/>
          <w:szCs w:val="24"/>
          <w:highlight w:val="none"/>
        </w:rPr>
      </w:pPr>
    </w:p>
    <w:p w14:paraId="70F7A559">
      <w:pPr>
        <w:spacing w:line="360" w:lineRule="auto"/>
        <w:rPr>
          <w:rFonts w:ascii="宋体" w:hAnsi="宋体" w:cs="宋体"/>
          <w:color w:val="auto"/>
          <w:sz w:val="24"/>
          <w:szCs w:val="24"/>
          <w:highlight w:val="none"/>
        </w:rPr>
      </w:pPr>
    </w:p>
    <w:p w14:paraId="627C966C">
      <w:pPr>
        <w:spacing w:line="360" w:lineRule="auto"/>
        <w:rPr>
          <w:rFonts w:ascii="宋体" w:hAnsi="宋体" w:cs="宋体"/>
          <w:color w:val="auto"/>
          <w:sz w:val="24"/>
          <w:szCs w:val="24"/>
          <w:highlight w:val="none"/>
        </w:rPr>
      </w:pPr>
    </w:p>
    <w:p w14:paraId="2C518B56">
      <w:pPr>
        <w:spacing w:line="360" w:lineRule="auto"/>
        <w:rPr>
          <w:rFonts w:ascii="宋体" w:hAnsi="宋体" w:cs="宋体"/>
          <w:color w:val="auto"/>
          <w:sz w:val="24"/>
          <w:szCs w:val="24"/>
          <w:highlight w:val="none"/>
        </w:rPr>
      </w:pPr>
    </w:p>
    <w:p w14:paraId="31A1BFBA">
      <w:pPr>
        <w:spacing w:line="360" w:lineRule="auto"/>
        <w:rPr>
          <w:rFonts w:ascii="宋体" w:hAnsi="宋体" w:cs="宋体"/>
          <w:color w:val="auto"/>
          <w:sz w:val="24"/>
          <w:szCs w:val="24"/>
          <w:highlight w:val="none"/>
        </w:rPr>
      </w:pPr>
    </w:p>
    <w:p w14:paraId="5072D758">
      <w:pPr>
        <w:spacing w:line="360" w:lineRule="auto"/>
        <w:rPr>
          <w:rFonts w:ascii="宋体" w:hAnsi="宋体" w:cs="宋体"/>
          <w:color w:val="auto"/>
          <w:sz w:val="32"/>
          <w:szCs w:val="32"/>
          <w:highlight w:val="none"/>
        </w:rPr>
      </w:pPr>
    </w:p>
    <w:p w14:paraId="47E06CF2">
      <w:pPr>
        <w:spacing w:line="360" w:lineRule="auto"/>
        <w:rPr>
          <w:rFonts w:ascii="宋体" w:hAnsi="宋体" w:cs="宋体"/>
          <w:color w:val="auto"/>
          <w:sz w:val="32"/>
          <w:szCs w:val="32"/>
          <w:highlight w:val="none"/>
        </w:rPr>
      </w:pPr>
    </w:p>
    <w:p w14:paraId="1A05850A">
      <w:pPr>
        <w:spacing w:line="360" w:lineRule="auto"/>
        <w:rPr>
          <w:rFonts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2F082760">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2"/>
        <w:tblW w:w="10345"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1440"/>
        <w:gridCol w:w="1419"/>
      </w:tblGrid>
      <w:tr w14:paraId="538E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1787AD0E">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vAlign w:val="center"/>
          </w:tcPr>
          <w:p w14:paraId="6ECF538A">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vAlign w:val="center"/>
          </w:tcPr>
          <w:p w14:paraId="4D6C2FA7">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vAlign w:val="center"/>
          </w:tcPr>
          <w:p w14:paraId="16D7C293">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vAlign w:val="center"/>
          </w:tcPr>
          <w:p w14:paraId="3D20B4D9">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vAlign w:val="center"/>
          </w:tcPr>
          <w:p w14:paraId="435EC087">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440" w:type="dxa"/>
            <w:tcBorders>
              <w:top w:val="single" w:color="auto" w:sz="4" w:space="0"/>
              <w:left w:val="single" w:color="auto" w:sz="4" w:space="0"/>
              <w:bottom w:val="single" w:color="auto" w:sz="4" w:space="0"/>
              <w:right w:val="single" w:color="auto" w:sz="4" w:space="0"/>
            </w:tcBorders>
            <w:vAlign w:val="center"/>
          </w:tcPr>
          <w:p w14:paraId="24A7EB65">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bCs w:val="0"/>
                <w:color w:val="auto"/>
                <w:sz w:val="24"/>
                <w:szCs w:val="24"/>
                <w:highlight w:val="none"/>
              </w:rPr>
              <w:t>*交付使用期</w:t>
            </w:r>
          </w:p>
        </w:tc>
        <w:tc>
          <w:tcPr>
            <w:tcW w:w="1419" w:type="dxa"/>
            <w:tcBorders>
              <w:top w:val="single" w:color="auto" w:sz="4" w:space="0"/>
              <w:left w:val="single" w:color="auto" w:sz="4" w:space="0"/>
              <w:bottom w:val="single" w:color="auto" w:sz="4" w:space="0"/>
              <w:right w:val="single" w:color="auto" w:sz="4" w:space="0"/>
            </w:tcBorders>
            <w:vAlign w:val="center"/>
          </w:tcPr>
          <w:p w14:paraId="7A70A082">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4DC7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restart"/>
            <w:tcBorders>
              <w:top w:val="single" w:color="auto" w:sz="4" w:space="0"/>
              <w:left w:val="single" w:color="auto" w:sz="4" w:space="0"/>
              <w:right w:val="single" w:color="auto" w:sz="4" w:space="0"/>
            </w:tcBorders>
            <w:vAlign w:val="center"/>
          </w:tcPr>
          <w:p w14:paraId="3467C9AF">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bCs w:val="0"/>
                <w:color w:val="auto"/>
                <w:sz w:val="24"/>
                <w:szCs w:val="24"/>
                <w:highlight w:val="none"/>
              </w:rPr>
              <w:t>XM202</w:t>
            </w:r>
            <w:r>
              <w:rPr>
                <w:rFonts w:hint="eastAsia" w:ascii="宋体" w:hAnsi="宋体" w:eastAsia="宋体" w:cs="宋体"/>
                <w:b w:val="0"/>
                <w:bCs w:val="0"/>
                <w:color w:val="auto"/>
                <w:sz w:val="24"/>
                <w:szCs w:val="24"/>
                <w:highlight w:val="none"/>
              </w:rPr>
              <w:t>6</w:t>
            </w:r>
            <w:r>
              <w:rPr>
                <w:rFonts w:ascii="宋体" w:hAnsi="宋体" w:eastAsia="宋体" w:cs="宋体"/>
                <w:b w:val="0"/>
                <w:bCs w:val="0"/>
                <w:color w:val="auto"/>
                <w:sz w:val="24"/>
                <w:szCs w:val="24"/>
                <w:highlight w:val="none"/>
              </w:rPr>
              <w:t>-DZ</w:t>
            </w:r>
            <w:r>
              <w:rPr>
                <w:rFonts w:hint="eastAsia" w:ascii="宋体" w:hAnsi="宋体" w:eastAsia="宋体" w:cs="宋体"/>
                <w:b w:val="0"/>
                <w:bCs w:val="0"/>
                <w:color w:val="auto"/>
                <w:sz w:val="24"/>
                <w:szCs w:val="24"/>
                <w:highlight w:val="none"/>
              </w:rPr>
              <w:t>0003C1</w:t>
            </w:r>
          </w:p>
        </w:tc>
        <w:tc>
          <w:tcPr>
            <w:tcW w:w="952" w:type="dxa"/>
            <w:tcBorders>
              <w:top w:val="single" w:color="auto" w:sz="4" w:space="0"/>
              <w:left w:val="single" w:color="auto" w:sz="4" w:space="0"/>
              <w:bottom w:val="single" w:color="auto" w:sz="4" w:space="0"/>
              <w:right w:val="single" w:color="auto" w:sz="4" w:space="0"/>
            </w:tcBorders>
            <w:vAlign w:val="center"/>
          </w:tcPr>
          <w:p w14:paraId="3C6F676E">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vAlign w:val="center"/>
          </w:tcPr>
          <w:p w14:paraId="64E4FFA7">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A4彩色单功能喷墨打印机</w:t>
            </w:r>
          </w:p>
        </w:tc>
        <w:tc>
          <w:tcPr>
            <w:tcW w:w="900" w:type="dxa"/>
            <w:tcBorders>
              <w:top w:val="single" w:color="auto" w:sz="4" w:space="0"/>
              <w:left w:val="single" w:color="auto" w:sz="4" w:space="0"/>
              <w:bottom w:val="single" w:color="auto" w:sz="4" w:space="0"/>
              <w:right w:val="single" w:color="auto" w:sz="4" w:space="0"/>
            </w:tcBorders>
            <w:vAlign w:val="center"/>
          </w:tcPr>
          <w:p w14:paraId="693DB103">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10</w:t>
            </w:r>
          </w:p>
        </w:tc>
        <w:tc>
          <w:tcPr>
            <w:tcW w:w="1620" w:type="dxa"/>
            <w:vMerge w:val="restart"/>
            <w:tcBorders>
              <w:top w:val="single" w:color="auto" w:sz="4" w:space="0"/>
              <w:left w:val="single" w:color="auto" w:sz="4" w:space="0"/>
              <w:right w:val="single" w:color="auto" w:sz="4" w:space="0"/>
            </w:tcBorders>
            <w:vAlign w:val="center"/>
          </w:tcPr>
          <w:p w14:paraId="48323BEC">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vMerge w:val="restart"/>
            <w:tcBorders>
              <w:top w:val="single" w:color="auto" w:sz="4" w:space="0"/>
              <w:left w:val="single" w:color="auto" w:sz="4" w:space="0"/>
              <w:right w:val="single" w:color="auto" w:sz="4" w:space="0"/>
            </w:tcBorders>
            <w:vAlign w:val="center"/>
          </w:tcPr>
          <w:p w14:paraId="0DC12845">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440" w:type="dxa"/>
            <w:vMerge w:val="restart"/>
            <w:tcBorders>
              <w:top w:val="single" w:color="auto" w:sz="4" w:space="0"/>
              <w:left w:val="single" w:color="auto" w:sz="4" w:space="0"/>
              <w:right w:val="single" w:color="auto" w:sz="4" w:space="0"/>
            </w:tcBorders>
            <w:vAlign w:val="center"/>
          </w:tcPr>
          <w:p w14:paraId="4E3BB2BF">
            <w:pPr>
              <w:pStyle w:val="3"/>
              <w:tabs>
                <w:tab w:val="left" w:pos="8360"/>
              </w:tabs>
              <w:spacing w:line="360" w:lineRule="auto"/>
              <w:rPr>
                <w:rFonts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详见招标内容及要求</w:t>
            </w:r>
          </w:p>
        </w:tc>
        <w:tc>
          <w:tcPr>
            <w:tcW w:w="1419" w:type="dxa"/>
            <w:vMerge w:val="restart"/>
            <w:tcBorders>
              <w:top w:val="single" w:color="auto" w:sz="4" w:space="0"/>
              <w:left w:val="single" w:color="auto" w:sz="4" w:space="0"/>
              <w:right w:val="single" w:color="auto" w:sz="4" w:space="0"/>
            </w:tcBorders>
            <w:vAlign w:val="center"/>
          </w:tcPr>
          <w:p w14:paraId="23BA3CE9">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厦门市政府机关事业单位和福建省内其他终端用户</w:t>
            </w:r>
          </w:p>
        </w:tc>
      </w:tr>
      <w:tr w14:paraId="2BCE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vAlign w:val="center"/>
          </w:tcPr>
          <w:p w14:paraId="40616F4F">
            <w:pPr>
              <w:pStyle w:val="3"/>
              <w:tabs>
                <w:tab w:val="left" w:pos="8360"/>
              </w:tabs>
              <w:spacing w:line="360" w:lineRule="auto"/>
              <w:rPr>
                <w:rFonts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14:paraId="71BF8A1C">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w:t>
            </w:r>
          </w:p>
        </w:tc>
        <w:tc>
          <w:tcPr>
            <w:tcW w:w="1716" w:type="dxa"/>
            <w:tcBorders>
              <w:top w:val="single" w:color="auto" w:sz="4" w:space="0"/>
              <w:left w:val="single" w:color="auto" w:sz="4" w:space="0"/>
              <w:bottom w:val="single" w:color="auto" w:sz="4" w:space="0"/>
              <w:right w:val="single" w:color="auto" w:sz="4" w:space="0"/>
            </w:tcBorders>
            <w:vAlign w:val="center"/>
          </w:tcPr>
          <w:p w14:paraId="2B82CB08">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A4彩色多功能喷墨打印机（基础）</w:t>
            </w:r>
          </w:p>
        </w:tc>
        <w:tc>
          <w:tcPr>
            <w:tcW w:w="900" w:type="dxa"/>
            <w:tcBorders>
              <w:top w:val="single" w:color="auto" w:sz="4" w:space="0"/>
              <w:left w:val="single" w:color="auto" w:sz="4" w:space="0"/>
              <w:bottom w:val="single" w:color="auto" w:sz="4" w:space="0"/>
              <w:right w:val="single" w:color="auto" w:sz="4" w:space="0"/>
            </w:tcBorders>
            <w:vAlign w:val="center"/>
          </w:tcPr>
          <w:p w14:paraId="02A96B0D">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70</w:t>
            </w:r>
          </w:p>
        </w:tc>
        <w:tc>
          <w:tcPr>
            <w:tcW w:w="1620" w:type="dxa"/>
            <w:vMerge w:val="continue"/>
            <w:tcBorders>
              <w:left w:val="single" w:color="auto" w:sz="4" w:space="0"/>
              <w:right w:val="single" w:color="auto" w:sz="4" w:space="0"/>
            </w:tcBorders>
            <w:vAlign w:val="center"/>
          </w:tcPr>
          <w:p w14:paraId="57A33B11">
            <w:pPr>
              <w:pStyle w:val="3"/>
              <w:tabs>
                <w:tab w:val="left" w:pos="8360"/>
              </w:tabs>
              <w:spacing w:line="360" w:lineRule="auto"/>
              <w:rPr>
                <w:rFonts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vAlign w:val="center"/>
          </w:tcPr>
          <w:p w14:paraId="3588E9B4">
            <w:pPr>
              <w:pStyle w:val="3"/>
              <w:tabs>
                <w:tab w:val="left" w:pos="8360"/>
              </w:tabs>
              <w:spacing w:line="360" w:lineRule="auto"/>
              <w:rPr>
                <w:rFonts w:ascii="宋体" w:hAnsi="宋体" w:eastAsia="宋体" w:cs="宋体"/>
                <w:b w:val="0"/>
                <w:bCs w:val="0"/>
                <w:color w:val="auto"/>
                <w:sz w:val="24"/>
                <w:szCs w:val="24"/>
                <w:highlight w:val="none"/>
              </w:rPr>
            </w:pPr>
          </w:p>
        </w:tc>
        <w:tc>
          <w:tcPr>
            <w:tcW w:w="1440" w:type="dxa"/>
            <w:vMerge w:val="continue"/>
            <w:tcBorders>
              <w:left w:val="single" w:color="auto" w:sz="4" w:space="0"/>
              <w:right w:val="single" w:color="auto" w:sz="4" w:space="0"/>
            </w:tcBorders>
            <w:vAlign w:val="center"/>
          </w:tcPr>
          <w:p w14:paraId="164DB289">
            <w:pPr>
              <w:pStyle w:val="3"/>
              <w:tabs>
                <w:tab w:val="left" w:pos="8360"/>
              </w:tabs>
              <w:spacing w:line="360" w:lineRule="auto"/>
              <w:rPr>
                <w:rFonts w:ascii="宋体" w:hAnsi="宋体" w:eastAsia="宋体" w:cs="宋体"/>
                <w:bCs w:val="0"/>
                <w:color w:val="auto"/>
                <w:sz w:val="24"/>
                <w:szCs w:val="24"/>
                <w:highlight w:val="none"/>
              </w:rPr>
            </w:pPr>
          </w:p>
        </w:tc>
        <w:tc>
          <w:tcPr>
            <w:tcW w:w="1419" w:type="dxa"/>
            <w:vMerge w:val="continue"/>
            <w:tcBorders>
              <w:left w:val="single" w:color="auto" w:sz="4" w:space="0"/>
              <w:right w:val="single" w:color="auto" w:sz="4" w:space="0"/>
            </w:tcBorders>
            <w:vAlign w:val="center"/>
          </w:tcPr>
          <w:p w14:paraId="39075AF1">
            <w:pPr>
              <w:pStyle w:val="3"/>
              <w:tabs>
                <w:tab w:val="left" w:pos="8360"/>
              </w:tabs>
              <w:spacing w:line="360" w:lineRule="auto"/>
              <w:rPr>
                <w:rFonts w:ascii="宋体" w:hAnsi="宋体" w:eastAsia="宋体" w:cs="宋体"/>
                <w:b w:val="0"/>
                <w:bCs w:val="0"/>
                <w:color w:val="auto"/>
                <w:sz w:val="24"/>
                <w:szCs w:val="24"/>
                <w:highlight w:val="none"/>
              </w:rPr>
            </w:pPr>
          </w:p>
        </w:tc>
      </w:tr>
      <w:tr w14:paraId="0EB4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vAlign w:val="center"/>
          </w:tcPr>
          <w:p w14:paraId="0F0BEE65">
            <w:pPr>
              <w:pStyle w:val="3"/>
              <w:tabs>
                <w:tab w:val="left" w:pos="8360"/>
              </w:tabs>
              <w:spacing w:line="360" w:lineRule="auto"/>
              <w:rPr>
                <w:rFonts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14:paraId="663968D4">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p>
        </w:tc>
        <w:tc>
          <w:tcPr>
            <w:tcW w:w="1716" w:type="dxa"/>
            <w:tcBorders>
              <w:top w:val="single" w:color="auto" w:sz="4" w:space="0"/>
              <w:left w:val="single" w:color="auto" w:sz="4" w:space="0"/>
              <w:bottom w:val="single" w:color="auto" w:sz="4" w:space="0"/>
              <w:right w:val="single" w:color="auto" w:sz="4" w:space="0"/>
            </w:tcBorders>
            <w:vAlign w:val="center"/>
          </w:tcPr>
          <w:p w14:paraId="1FEA5C11">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A4彩色多功能喷墨打印机（高端）</w:t>
            </w:r>
          </w:p>
        </w:tc>
        <w:tc>
          <w:tcPr>
            <w:tcW w:w="900" w:type="dxa"/>
            <w:tcBorders>
              <w:top w:val="single" w:color="auto" w:sz="4" w:space="0"/>
              <w:left w:val="single" w:color="auto" w:sz="4" w:space="0"/>
              <w:bottom w:val="single" w:color="auto" w:sz="4" w:space="0"/>
              <w:right w:val="single" w:color="auto" w:sz="4" w:space="0"/>
            </w:tcBorders>
            <w:vAlign w:val="center"/>
          </w:tcPr>
          <w:p w14:paraId="671A4AB5">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42</w:t>
            </w:r>
          </w:p>
        </w:tc>
        <w:tc>
          <w:tcPr>
            <w:tcW w:w="1620" w:type="dxa"/>
            <w:vMerge w:val="continue"/>
            <w:tcBorders>
              <w:left w:val="single" w:color="auto" w:sz="4" w:space="0"/>
              <w:right w:val="single" w:color="auto" w:sz="4" w:space="0"/>
            </w:tcBorders>
            <w:vAlign w:val="center"/>
          </w:tcPr>
          <w:p w14:paraId="02BAE62A">
            <w:pPr>
              <w:pStyle w:val="3"/>
              <w:tabs>
                <w:tab w:val="left" w:pos="8360"/>
              </w:tabs>
              <w:spacing w:line="360" w:lineRule="auto"/>
              <w:rPr>
                <w:rFonts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vAlign w:val="center"/>
          </w:tcPr>
          <w:p w14:paraId="1FEFCC39">
            <w:pPr>
              <w:pStyle w:val="3"/>
              <w:tabs>
                <w:tab w:val="left" w:pos="8360"/>
              </w:tabs>
              <w:spacing w:line="360" w:lineRule="auto"/>
              <w:rPr>
                <w:rFonts w:ascii="宋体" w:hAnsi="宋体" w:eastAsia="宋体" w:cs="宋体"/>
                <w:b w:val="0"/>
                <w:bCs w:val="0"/>
                <w:color w:val="auto"/>
                <w:sz w:val="24"/>
                <w:szCs w:val="24"/>
                <w:highlight w:val="none"/>
              </w:rPr>
            </w:pPr>
          </w:p>
        </w:tc>
        <w:tc>
          <w:tcPr>
            <w:tcW w:w="1440" w:type="dxa"/>
            <w:vMerge w:val="continue"/>
            <w:tcBorders>
              <w:left w:val="single" w:color="auto" w:sz="4" w:space="0"/>
              <w:right w:val="single" w:color="auto" w:sz="4" w:space="0"/>
            </w:tcBorders>
            <w:vAlign w:val="center"/>
          </w:tcPr>
          <w:p w14:paraId="53975016">
            <w:pPr>
              <w:pStyle w:val="3"/>
              <w:tabs>
                <w:tab w:val="left" w:pos="8360"/>
              </w:tabs>
              <w:spacing w:line="360" w:lineRule="auto"/>
              <w:rPr>
                <w:rFonts w:ascii="宋体" w:hAnsi="宋体" w:eastAsia="宋体" w:cs="宋体"/>
                <w:bCs w:val="0"/>
                <w:color w:val="auto"/>
                <w:sz w:val="24"/>
                <w:szCs w:val="24"/>
                <w:highlight w:val="none"/>
              </w:rPr>
            </w:pPr>
          </w:p>
        </w:tc>
        <w:tc>
          <w:tcPr>
            <w:tcW w:w="1419" w:type="dxa"/>
            <w:vMerge w:val="continue"/>
            <w:tcBorders>
              <w:left w:val="single" w:color="auto" w:sz="4" w:space="0"/>
              <w:right w:val="single" w:color="auto" w:sz="4" w:space="0"/>
            </w:tcBorders>
            <w:vAlign w:val="center"/>
          </w:tcPr>
          <w:p w14:paraId="4B7CC97D">
            <w:pPr>
              <w:pStyle w:val="3"/>
              <w:tabs>
                <w:tab w:val="left" w:pos="8360"/>
              </w:tabs>
              <w:spacing w:line="360" w:lineRule="auto"/>
              <w:rPr>
                <w:rFonts w:ascii="宋体" w:hAnsi="宋体" w:eastAsia="宋体" w:cs="宋体"/>
                <w:b w:val="0"/>
                <w:bCs w:val="0"/>
                <w:color w:val="auto"/>
                <w:sz w:val="24"/>
                <w:szCs w:val="24"/>
                <w:highlight w:val="none"/>
              </w:rPr>
            </w:pPr>
          </w:p>
        </w:tc>
      </w:tr>
      <w:tr w14:paraId="31A0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vAlign w:val="center"/>
          </w:tcPr>
          <w:p w14:paraId="798ABFE1">
            <w:pPr>
              <w:pStyle w:val="3"/>
              <w:tabs>
                <w:tab w:val="left" w:pos="8360"/>
              </w:tabs>
              <w:spacing w:line="360" w:lineRule="auto"/>
              <w:rPr>
                <w:rFonts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14:paraId="7AAA6163">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p>
        </w:tc>
        <w:tc>
          <w:tcPr>
            <w:tcW w:w="1716" w:type="dxa"/>
            <w:tcBorders>
              <w:top w:val="single" w:color="auto" w:sz="4" w:space="0"/>
              <w:left w:val="single" w:color="auto" w:sz="4" w:space="0"/>
              <w:bottom w:val="single" w:color="auto" w:sz="4" w:space="0"/>
              <w:right w:val="single" w:color="auto" w:sz="4" w:space="0"/>
            </w:tcBorders>
            <w:vAlign w:val="center"/>
          </w:tcPr>
          <w:p w14:paraId="205ED8A7">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A4彩色单功能便携式喷墨打印机</w:t>
            </w:r>
          </w:p>
        </w:tc>
        <w:tc>
          <w:tcPr>
            <w:tcW w:w="900" w:type="dxa"/>
            <w:tcBorders>
              <w:top w:val="single" w:color="auto" w:sz="4" w:space="0"/>
              <w:left w:val="single" w:color="auto" w:sz="4" w:space="0"/>
              <w:bottom w:val="single" w:color="auto" w:sz="4" w:space="0"/>
              <w:right w:val="single" w:color="auto" w:sz="4" w:space="0"/>
            </w:tcBorders>
            <w:vAlign w:val="center"/>
          </w:tcPr>
          <w:p w14:paraId="5A7AB2C5">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115</w:t>
            </w:r>
          </w:p>
        </w:tc>
        <w:tc>
          <w:tcPr>
            <w:tcW w:w="1620" w:type="dxa"/>
            <w:vMerge w:val="continue"/>
            <w:tcBorders>
              <w:left w:val="single" w:color="auto" w:sz="4" w:space="0"/>
              <w:right w:val="single" w:color="auto" w:sz="4" w:space="0"/>
            </w:tcBorders>
            <w:vAlign w:val="center"/>
          </w:tcPr>
          <w:p w14:paraId="016A8FF8">
            <w:pPr>
              <w:pStyle w:val="3"/>
              <w:tabs>
                <w:tab w:val="left" w:pos="8360"/>
              </w:tabs>
              <w:spacing w:line="360" w:lineRule="auto"/>
              <w:rPr>
                <w:rFonts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vAlign w:val="center"/>
          </w:tcPr>
          <w:p w14:paraId="071AC145">
            <w:pPr>
              <w:pStyle w:val="3"/>
              <w:tabs>
                <w:tab w:val="left" w:pos="8360"/>
              </w:tabs>
              <w:spacing w:line="360" w:lineRule="auto"/>
              <w:rPr>
                <w:rFonts w:ascii="宋体" w:hAnsi="宋体" w:eastAsia="宋体" w:cs="宋体"/>
                <w:b w:val="0"/>
                <w:bCs w:val="0"/>
                <w:color w:val="auto"/>
                <w:sz w:val="24"/>
                <w:szCs w:val="24"/>
                <w:highlight w:val="none"/>
              </w:rPr>
            </w:pPr>
          </w:p>
        </w:tc>
        <w:tc>
          <w:tcPr>
            <w:tcW w:w="1440" w:type="dxa"/>
            <w:vMerge w:val="continue"/>
            <w:tcBorders>
              <w:left w:val="single" w:color="auto" w:sz="4" w:space="0"/>
              <w:right w:val="single" w:color="auto" w:sz="4" w:space="0"/>
            </w:tcBorders>
            <w:vAlign w:val="center"/>
          </w:tcPr>
          <w:p w14:paraId="2C04435D">
            <w:pPr>
              <w:pStyle w:val="3"/>
              <w:tabs>
                <w:tab w:val="left" w:pos="8360"/>
              </w:tabs>
              <w:spacing w:line="360" w:lineRule="auto"/>
              <w:rPr>
                <w:rFonts w:ascii="宋体" w:hAnsi="宋体" w:eastAsia="宋体" w:cs="宋体"/>
                <w:bCs w:val="0"/>
                <w:color w:val="auto"/>
                <w:sz w:val="24"/>
                <w:szCs w:val="24"/>
                <w:highlight w:val="none"/>
              </w:rPr>
            </w:pPr>
          </w:p>
        </w:tc>
        <w:tc>
          <w:tcPr>
            <w:tcW w:w="1419" w:type="dxa"/>
            <w:vMerge w:val="continue"/>
            <w:tcBorders>
              <w:left w:val="single" w:color="auto" w:sz="4" w:space="0"/>
              <w:right w:val="single" w:color="auto" w:sz="4" w:space="0"/>
            </w:tcBorders>
            <w:vAlign w:val="center"/>
          </w:tcPr>
          <w:p w14:paraId="0B0D0A2E">
            <w:pPr>
              <w:pStyle w:val="3"/>
              <w:tabs>
                <w:tab w:val="left" w:pos="8360"/>
              </w:tabs>
              <w:spacing w:line="360" w:lineRule="auto"/>
              <w:rPr>
                <w:rFonts w:ascii="宋体" w:hAnsi="宋体" w:eastAsia="宋体" w:cs="宋体"/>
                <w:b w:val="0"/>
                <w:bCs w:val="0"/>
                <w:color w:val="auto"/>
                <w:sz w:val="24"/>
                <w:szCs w:val="24"/>
                <w:highlight w:val="none"/>
              </w:rPr>
            </w:pPr>
          </w:p>
        </w:tc>
      </w:tr>
      <w:tr w14:paraId="4EF0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bottom w:val="single" w:color="auto" w:sz="4" w:space="0"/>
              <w:right w:val="single" w:color="auto" w:sz="4" w:space="0"/>
            </w:tcBorders>
            <w:vAlign w:val="center"/>
          </w:tcPr>
          <w:p w14:paraId="2662C9AE">
            <w:pPr>
              <w:pStyle w:val="3"/>
              <w:tabs>
                <w:tab w:val="left" w:pos="8360"/>
              </w:tabs>
              <w:spacing w:line="360" w:lineRule="auto"/>
              <w:rPr>
                <w:rFonts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vAlign w:val="center"/>
          </w:tcPr>
          <w:p w14:paraId="621D05A2">
            <w:pPr>
              <w:pStyle w:val="3"/>
              <w:tabs>
                <w:tab w:val="left" w:pos="8360"/>
              </w:tabs>
              <w:spacing w:line="360" w:lineRule="auto"/>
              <w:rPr>
                <w:rFonts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w:t>
            </w:r>
          </w:p>
        </w:tc>
        <w:tc>
          <w:tcPr>
            <w:tcW w:w="1716" w:type="dxa"/>
            <w:tcBorders>
              <w:top w:val="single" w:color="auto" w:sz="4" w:space="0"/>
              <w:left w:val="single" w:color="auto" w:sz="4" w:space="0"/>
              <w:bottom w:val="single" w:color="auto" w:sz="4" w:space="0"/>
              <w:right w:val="single" w:color="auto" w:sz="4" w:space="0"/>
            </w:tcBorders>
            <w:vAlign w:val="center"/>
          </w:tcPr>
          <w:p w14:paraId="7955B6A3">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A3彩色单功能打印机</w:t>
            </w:r>
          </w:p>
        </w:tc>
        <w:tc>
          <w:tcPr>
            <w:tcW w:w="900" w:type="dxa"/>
            <w:tcBorders>
              <w:top w:val="single" w:color="auto" w:sz="4" w:space="0"/>
              <w:left w:val="single" w:color="auto" w:sz="4" w:space="0"/>
              <w:bottom w:val="single" w:color="auto" w:sz="4" w:space="0"/>
              <w:right w:val="single" w:color="auto" w:sz="4" w:space="0"/>
            </w:tcBorders>
            <w:vAlign w:val="center"/>
          </w:tcPr>
          <w:p w14:paraId="36F6DFD3">
            <w:pPr>
              <w:pStyle w:val="3"/>
              <w:tabs>
                <w:tab w:val="left" w:pos="8360"/>
              </w:tabs>
              <w:spacing w:line="360" w:lineRule="auto"/>
              <w:rPr>
                <w:rFonts w:ascii="宋体" w:hAnsi="宋体" w:eastAsia="宋体" w:cs="宋体"/>
                <w:b w:val="0"/>
                <w:bCs w:val="0"/>
                <w:color w:val="auto"/>
                <w:sz w:val="24"/>
                <w:szCs w:val="24"/>
                <w:highlight w:val="none"/>
              </w:rPr>
            </w:pPr>
            <w:r>
              <w:rPr>
                <w:rFonts w:ascii="宋体" w:hAnsi="宋体" w:eastAsia="宋体" w:cs="宋体"/>
                <w:b w:val="0"/>
                <w:color w:val="auto"/>
                <w:sz w:val="24"/>
                <w:szCs w:val="24"/>
                <w:highlight w:val="none"/>
              </w:rPr>
              <w:t>13</w:t>
            </w:r>
          </w:p>
        </w:tc>
        <w:tc>
          <w:tcPr>
            <w:tcW w:w="1620" w:type="dxa"/>
            <w:vMerge w:val="continue"/>
            <w:tcBorders>
              <w:left w:val="single" w:color="auto" w:sz="4" w:space="0"/>
              <w:bottom w:val="single" w:color="auto" w:sz="4" w:space="0"/>
              <w:right w:val="single" w:color="auto" w:sz="4" w:space="0"/>
            </w:tcBorders>
            <w:vAlign w:val="center"/>
          </w:tcPr>
          <w:p w14:paraId="4870C6B0">
            <w:pPr>
              <w:pStyle w:val="3"/>
              <w:tabs>
                <w:tab w:val="left" w:pos="8360"/>
              </w:tabs>
              <w:spacing w:line="360" w:lineRule="auto"/>
              <w:rPr>
                <w:rFonts w:ascii="宋体" w:hAnsi="宋体" w:eastAsia="宋体" w:cs="宋体"/>
                <w:b w:val="0"/>
                <w:bCs w:val="0"/>
                <w:color w:val="auto"/>
                <w:sz w:val="24"/>
                <w:szCs w:val="24"/>
                <w:highlight w:val="none"/>
              </w:rPr>
            </w:pPr>
          </w:p>
        </w:tc>
        <w:tc>
          <w:tcPr>
            <w:tcW w:w="1080" w:type="dxa"/>
            <w:vMerge w:val="continue"/>
            <w:tcBorders>
              <w:left w:val="single" w:color="auto" w:sz="4" w:space="0"/>
              <w:bottom w:val="single" w:color="auto" w:sz="4" w:space="0"/>
              <w:right w:val="single" w:color="auto" w:sz="4" w:space="0"/>
            </w:tcBorders>
            <w:vAlign w:val="center"/>
          </w:tcPr>
          <w:p w14:paraId="464114CB">
            <w:pPr>
              <w:pStyle w:val="3"/>
              <w:tabs>
                <w:tab w:val="left" w:pos="8360"/>
              </w:tabs>
              <w:spacing w:line="360" w:lineRule="auto"/>
              <w:rPr>
                <w:rFonts w:ascii="宋体" w:hAnsi="宋体" w:eastAsia="宋体" w:cs="宋体"/>
                <w:b w:val="0"/>
                <w:bCs w:val="0"/>
                <w:color w:val="auto"/>
                <w:sz w:val="24"/>
                <w:szCs w:val="24"/>
                <w:highlight w:val="none"/>
              </w:rPr>
            </w:pPr>
          </w:p>
        </w:tc>
        <w:tc>
          <w:tcPr>
            <w:tcW w:w="1440" w:type="dxa"/>
            <w:vMerge w:val="continue"/>
            <w:tcBorders>
              <w:left w:val="single" w:color="auto" w:sz="4" w:space="0"/>
              <w:bottom w:val="single" w:color="auto" w:sz="4" w:space="0"/>
              <w:right w:val="single" w:color="auto" w:sz="4" w:space="0"/>
            </w:tcBorders>
            <w:vAlign w:val="center"/>
          </w:tcPr>
          <w:p w14:paraId="390F9831">
            <w:pPr>
              <w:pStyle w:val="3"/>
              <w:tabs>
                <w:tab w:val="left" w:pos="8360"/>
              </w:tabs>
              <w:spacing w:line="360" w:lineRule="auto"/>
              <w:rPr>
                <w:rFonts w:ascii="宋体" w:hAnsi="宋体" w:eastAsia="宋体" w:cs="宋体"/>
                <w:bCs w:val="0"/>
                <w:color w:val="auto"/>
                <w:sz w:val="24"/>
                <w:szCs w:val="24"/>
                <w:highlight w:val="none"/>
              </w:rPr>
            </w:pPr>
          </w:p>
        </w:tc>
        <w:tc>
          <w:tcPr>
            <w:tcW w:w="1419" w:type="dxa"/>
            <w:vMerge w:val="continue"/>
            <w:tcBorders>
              <w:left w:val="single" w:color="auto" w:sz="4" w:space="0"/>
              <w:bottom w:val="single" w:color="auto" w:sz="4" w:space="0"/>
              <w:right w:val="single" w:color="auto" w:sz="4" w:space="0"/>
            </w:tcBorders>
            <w:vAlign w:val="center"/>
          </w:tcPr>
          <w:p w14:paraId="39245267">
            <w:pPr>
              <w:pStyle w:val="3"/>
              <w:tabs>
                <w:tab w:val="left" w:pos="8360"/>
              </w:tabs>
              <w:spacing w:line="360" w:lineRule="auto"/>
              <w:rPr>
                <w:rFonts w:ascii="宋体" w:hAnsi="宋体" w:eastAsia="宋体" w:cs="宋体"/>
                <w:b w:val="0"/>
                <w:bCs w:val="0"/>
                <w:color w:val="auto"/>
                <w:sz w:val="24"/>
                <w:szCs w:val="24"/>
                <w:highlight w:val="none"/>
              </w:rPr>
            </w:pPr>
          </w:p>
        </w:tc>
      </w:tr>
    </w:tbl>
    <w:p w14:paraId="6A582E16">
      <w:pPr>
        <w:spacing w:line="360" w:lineRule="auto"/>
        <w:jc w:val="both"/>
        <w:rPr>
          <w:rFonts w:ascii="宋体" w:hAnsi="宋体" w:cs="宋体"/>
          <w:b/>
          <w:color w:val="auto"/>
          <w:sz w:val="32"/>
          <w:szCs w:val="32"/>
          <w:highlight w:val="none"/>
        </w:rPr>
      </w:pPr>
    </w:p>
    <w:p w14:paraId="33DB4B92">
      <w:pPr>
        <w:pStyle w:val="5"/>
        <w:tabs>
          <w:tab w:val="left" w:pos="8360"/>
        </w:tabs>
        <w:spacing w:line="360" w:lineRule="auto"/>
        <w:jc w:val="left"/>
        <w:rPr>
          <w:rFonts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43D6E70E">
      <w:pPr>
        <w:pStyle w:val="5"/>
        <w:tabs>
          <w:tab w:val="left" w:pos="8360"/>
        </w:tabs>
        <w:spacing w:line="360" w:lineRule="auto"/>
        <w:jc w:val="left"/>
        <w:rPr>
          <w:rFonts w:hAnsi="宋体" w:cs="宋体"/>
          <w:color w:val="auto"/>
          <w:sz w:val="24"/>
          <w:szCs w:val="24"/>
          <w:highlight w:val="none"/>
        </w:rPr>
      </w:pPr>
    </w:p>
    <w:p w14:paraId="5008A7F5">
      <w:pPr>
        <w:pStyle w:val="5"/>
        <w:tabs>
          <w:tab w:val="left" w:pos="8360"/>
        </w:tabs>
        <w:spacing w:line="360" w:lineRule="auto"/>
        <w:jc w:val="left"/>
        <w:rPr>
          <w:rFonts w:hAnsi="宋体" w:cs="宋体"/>
          <w:color w:val="auto"/>
          <w:sz w:val="24"/>
          <w:szCs w:val="24"/>
          <w:highlight w:val="none"/>
        </w:rPr>
      </w:pPr>
    </w:p>
    <w:p w14:paraId="17B2C407">
      <w:pPr>
        <w:pStyle w:val="5"/>
        <w:tabs>
          <w:tab w:val="left" w:pos="8360"/>
        </w:tabs>
        <w:spacing w:line="360" w:lineRule="auto"/>
        <w:jc w:val="left"/>
        <w:rPr>
          <w:rFonts w:hAnsi="宋体" w:cs="宋体"/>
          <w:color w:val="auto"/>
          <w:sz w:val="24"/>
          <w:szCs w:val="24"/>
          <w:highlight w:val="none"/>
        </w:rPr>
      </w:pPr>
    </w:p>
    <w:p w14:paraId="540065BD">
      <w:pPr>
        <w:pStyle w:val="5"/>
        <w:tabs>
          <w:tab w:val="left" w:pos="8360"/>
        </w:tabs>
        <w:spacing w:line="360" w:lineRule="auto"/>
        <w:jc w:val="left"/>
        <w:rPr>
          <w:rFonts w:hAnsi="宋体" w:cs="宋体"/>
          <w:color w:val="auto"/>
          <w:sz w:val="24"/>
          <w:szCs w:val="24"/>
          <w:highlight w:val="none"/>
        </w:rPr>
      </w:pPr>
    </w:p>
    <w:p w14:paraId="44AE821E">
      <w:pPr>
        <w:pStyle w:val="5"/>
        <w:tabs>
          <w:tab w:val="left" w:pos="8360"/>
        </w:tabs>
        <w:spacing w:line="360" w:lineRule="auto"/>
        <w:jc w:val="left"/>
        <w:rPr>
          <w:rFonts w:hAnsi="宋体" w:cs="宋体"/>
          <w:color w:val="auto"/>
          <w:sz w:val="24"/>
          <w:szCs w:val="24"/>
          <w:highlight w:val="none"/>
        </w:rPr>
      </w:pPr>
    </w:p>
    <w:p w14:paraId="13AB7116">
      <w:pPr>
        <w:pStyle w:val="5"/>
        <w:tabs>
          <w:tab w:val="left" w:pos="8360"/>
        </w:tabs>
        <w:spacing w:line="360" w:lineRule="auto"/>
        <w:jc w:val="left"/>
        <w:rPr>
          <w:rFonts w:hAnsi="宋体" w:cs="宋体"/>
          <w:color w:val="auto"/>
          <w:sz w:val="24"/>
          <w:szCs w:val="24"/>
          <w:highlight w:val="none"/>
        </w:rPr>
      </w:pPr>
    </w:p>
    <w:p w14:paraId="3E453B01">
      <w:pPr>
        <w:pStyle w:val="2"/>
        <w:spacing w:line="360" w:lineRule="auto"/>
        <w:ind w:firstLine="0"/>
        <w:rPr>
          <w:rFonts w:ascii="宋体" w:hAnsi="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6F80EB9B">
      <w:pPr>
        <w:pStyle w:val="17"/>
        <w:spacing w:line="360" w:lineRule="auto"/>
        <w:jc w:val="center"/>
        <w:rPr>
          <w:rFonts w:hAnsi="宋体" w:cs="宋体"/>
          <w:b/>
          <w:color w:val="auto"/>
          <w:sz w:val="32"/>
          <w:szCs w:val="32"/>
          <w:highlight w:val="none"/>
        </w:rPr>
      </w:pPr>
      <w:r>
        <w:rPr>
          <w:rFonts w:hint="eastAsia" w:hAnsi="宋体" w:cs="宋体"/>
          <w:b/>
          <w:color w:val="auto"/>
          <w:sz w:val="32"/>
          <w:szCs w:val="32"/>
          <w:highlight w:val="none"/>
        </w:rPr>
        <w:t>第二章  投标人须知</w:t>
      </w:r>
    </w:p>
    <w:p w14:paraId="193FDE8F">
      <w:pPr>
        <w:pStyle w:val="17"/>
        <w:spacing w:line="360" w:lineRule="auto"/>
        <w:jc w:val="center"/>
        <w:rPr>
          <w:rFonts w:hAnsi="宋体" w:cs="宋体"/>
          <w:color w:val="auto"/>
          <w:sz w:val="32"/>
          <w:szCs w:val="32"/>
          <w:highlight w:val="none"/>
        </w:rPr>
      </w:pPr>
      <w:r>
        <w:rPr>
          <w:rFonts w:hint="eastAsia" w:hAnsi="宋体" w:cs="宋体"/>
          <w:b/>
          <w:color w:val="auto"/>
          <w:sz w:val="32"/>
          <w:szCs w:val="32"/>
          <w:highlight w:val="none"/>
        </w:rPr>
        <w:t>投标人须知前附表1</w:t>
      </w:r>
    </w:p>
    <w:p w14:paraId="0C30D0EB">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3B73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2B73AD9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tcPr>
          <w:p w14:paraId="0381029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tcPr>
          <w:p w14:paraId="286CFC4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08C7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776429A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vAlign w:val="center"/>
          </w:tcPr>
          <w:p w14:paraId="7DA3ACA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vAlign w:val="center"/>
          </w:tcPr>
          <w:p w14:paraId="5FB57C9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项目名称：2026年大宗喷墨打印机</w:t>
            </w:r>
          </w:p>
          <w:p w14:paraId="517F761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01D1CB7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35D21DD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项目内容：2026年大宗喷墨打印机</w:t>
            </w:r>
          </w:p>
          <w:p w14:paraId="5110FCAD">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rPr>
              <w:t>XM2026-DZ0003C1</w:t>
            </w:r>
          </w:p>
          <w:p w14:paraId="69E190F3">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采购预算：人民币48.07万元整</w:t>
            </w:r>
          </w:p>
        </w:tc>
      </w:tr>
      <w:tr w14:paraId="5A23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251920E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vAlign w:val="center"/>
          </w:tcPr>
          <w:p w14:paraId="6E80427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vAlign w:val="center"/>
          </w:tcPr>
          <w:p w14:paraId="7CFB7B7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资格标准：</w:t>
            </w:r>
          </w:p>
          <w:p w14:paraId="114AF29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1EAD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AB9586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vAlign w:val="center"/>
          </w:tcPr>
          <w:p w14:paraId="75C2D0E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vAlign w:val="center"/>
          </w:tcPr>
          <w:p w14:paraId="12E69CD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w:t>
            </w:r>
          </w:p>
          <w:p w14:paraId="4DE7700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59F3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48AD733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vAlign w:val="center"/>
          </w:tcPr>
          <w:p w14:paraId="51799A6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vAlign w:val="center"/>
          </w:tcPr>
          <w:p w14:paraId="3F4EDAA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 xml:space="preserve">    0元      </w:t>
            </w:r>
          </w:p>
          <w:p w14:paraId="233E314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711352B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143CE41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07445E84">
            <w:pPr>
              <w:spacing w:line="360" w:lineRule="auto"/>
              <w:rPr>
                <w:rFonts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6F404BB2">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5ABFADE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2858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660E19D5">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vAlign w:val="center"/>
          </w:tcPr>
          <w:p w14:paraId="13AB959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vAlign w:val="center"/>
          </w:tcPr>
          <w:p w14:paraId="0448FB4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638B96F2">
            <w:pPr>
              <w:pStyle w:val="5"/>
              <w:spacing w:line="360" w:lineRule="auto"/>
              <w:rPr>
                <w:rFonts w:hAnsi="宋体" w:cs="宋体"/>
                <w:color w:val="auto"/>
                <w:sz w:val="24"/>
                <w:szCs w:val="24"/>
                <w:highlight w:val="none"/>
              </w:rPr>
            </w:pPr>
            <w:r>
              <w:rPr>
                <w:rFonts w:hint="eastAsia" w:hAnsi="宋体" w:cs="宋体"/>
                <w:color w:val="auto"/>
                <w:sz w:val="24"/>
                <w:szCs w:val="24"/>
                <w:highlight w:val="none"/>
              </w:rPr>
              <w:t>详见《投标人须知前附表3》。</w:t>
            </w:r>
          </w:p>
        </w:tc>
      </w:tr>
      <w:tr w14:paraId="7A68A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166CA6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vAlign w:val="center"/>
          </w:tcPr>
          <w:p w14:paraId="6FFCA301">
            <w:pPr>
              <w:spacing w:line="360" w:lineRule="auto"/>
              <w:ind w:right="-63" w:rightChars="-30"/>
              <w:rPr>
                <w:rFonts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vAlign w:val="center"/>
          </w:tcPr>
          <w:p w14:paraId="72DD58D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代理服务费：</w:t>
            </w:r>
          </w:p>
          <w:p w14:paraId="0ECAA430">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F8F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4E6DA8D">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tcPr>
                <w:p w14:paraId="3889F865">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费率</w:t>
                  </w:r>
                </w:p>
              </w:tc>
            </w:tr>
            <w:tr w14:paraId="23EE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8249857">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tcPr>
                <w:p w14:paraId="1D3844EE">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1.5%</w:t>
                  </w:r>
                </w:p>
              </w:tc>
            </w:tr>
            <w:tr w14:paraId="2D6FE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20ECB46">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tcPr>
                <w:p w14:paraId="6DC3DCE5">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1.1%</w:t>
                  </w:r>
                </w:p>
              </w:tc>
            </w:tr>
            <w:tr w14:paraId="5EA0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9314674">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tcPr>
                <w:p w14:paraId="4CC3CE4B">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0.8%</w:t>
                  </w:r>
                </w:p>
              </w:tc>
            </w:tr>
            <w:tr w14:paraId="6435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A3C5A65">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tcPr>
                <w:p w14:paraId="2A156CF7">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0.5%</w:t>
                  </w:r>
                </w:p>
              </w:tc>
            </w:tr>
            <w:tr w14:paraId="1E64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1DCA01D">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tcPr>
                <w:p w14:paraId="6AA7348D">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0.25%</w:t>
                  </w:r>
                </w:p>
              </w:tc>
            </w:tr>
            <w:tr w14:paraId="095C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A1395D0">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tcPr>
                <w:p w14:paraId="194A8DE1">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0.05%</w:t>
                  </w:r>
                </w:p>
              </w:tc>
            </w:tr>
            <w:tr w14:paraId="4BDF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32CD35A">
                  <w:pPr>
                    <w:adjustRightInd w:val="0"/>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tcPr>
                <w:p w14:paraId="56D21DBC">
                  <w:pPr>
                    <w:adjustRightInd w:val="0"/>
                    <w:snapToGrid w:val="0"/>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0.035%</w:t>
                  </w:r>
                </w:p>
              </w:tc>
            </w:tr>
          </w:tbl>
          <w:p w14:paraId="7792C2A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注：1、代理服务费的收取按差额定率累进法计算,由中标供应商支付。中标服务费按每个《定货单》金额分别收取，《定货单》金额不予累加。</w:t>
            </w:r>
          </w:p>
          <w:p w14:paraId="3C1CAD5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2、中标供应商以转账或汇款方式提交。本项目中标服务费按每批次《定货单》金额的收费标准收取，中标供应商最迟在采购单位发出《定货单》之日起10个工作日内向招标代理机构缴交中标服务费。</w:t>
            </w:r>
          </w:p>
          <w:p w14:paraId="28B0136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35E1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708F3E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tcBorders>
              <w:top w:val="single" w:color="auto" w:sz="4" w:space="0"/>
              <w:left w:val="single" w:color="auto" w:sz="4" w:space="0"/>
              <w:bottom w:val="single" w:color="auto" w:sz="4" w:space="0"/>
              <w:right w:val="single" w:color="auto" w:sz="4" w:space="0"/>
            </w:tcBorders>
            <w:vAlign w:val="center"/>
          </w:tcPr>
          <w:p w14:paraId="64D86FC5">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02F7BC8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监督管理部门：</w:t>
            </w:r>
            <w:r>
              <w:rPr>
                <w:rFonts w:hint="eastAsia" w:ascii="宋体" w:hAnsi="宋体" w:cs="宋体"/>
                <w:color w:val="auto"/>
                <w:sz w:val="24"/>
                <w:szCs w:val="24"/>
                <w:highlight w:val="none"/>
              </w:rPr>
              <w:t>厦门市财政局</w:t>
            </w:r>
            <w:r>
              <w:rPr>
                <w:rFonts w:hint="eastAsia" w:ascii="宋体" w:hAnsi="宋体" w:cs="宋体"/>
                <w:color w:val="auto"/>
                <w:sz w:val="24"/>
                <w:szCs w:val="24"/>
                <w:highlight w:val="none"/>
              </w:rPr>
              <w:t>。</w:t>
            </w:r>
          </w:p>
        </w:tc>
      </w:tr>
      <w:tr w14:paraId="6E10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DCCB9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tcBorders>
              <w:top w:val="single" w:color="auto" w:sz="4" w:space="0"/>
              <w:left w:val="single" w:color="auto" w:sz="4" w:space="0"/>
              <w:bottom w:val="single" w:color="auto" w:sz="4" w:space="0"/>
              <w:right w:val="single" w:color="auto" w:sz="4" w:space="0"/>
            </w:tcBorders>
            <w:vAlign w:val="center"/>
          </w:tcPr>
          <w:p w14:paraId="69EB7224">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2100FA7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 xml:space="preserve">是/ </w:t>
            </w:r>
            <w:bookmarkStart w:id="0" w:name="OLE_LINK7"/>
            <w:r>
              <w:rPr>
                <w:rFonts w:hint="eastAsia" w:ascii="宋体" w:hAnsi="宋体" w:cs="宋体"/>
                <w:b/>
                <w:color w:val="auto"/>
                <w:sz w:val="24"/>
                <w:szCs w:val="24"/>
                <w:highlight w:val="none"/>
              </w:rPr>
              <w:t>□</w:t>
            </w:r>
            <w:bookmarkEnd w:id="0"/>
            <w:r>
              <w:rPr>
                <w:rFonts w:hint="eastAsia" w:ascii="宋体" w:hAnsi="宋体" w:cs="宋体"/>
                <w:color w:val="auto"/>
                <w:sz w:val="24"/>
                <w:szCs w:val="24"/>
                <w:highlight w:val="none"/>
              </w:rPr>
              <w:t>否</w:t>
            </w:r>
          </w:p>
        </w:tc>
      </w:tr>
      <w:tr w14:paraId="0852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83AB23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vAlign w:val="center"/>
          </w:tcPr>
          <w:p w14:paraId="285E8ABD">
            <w:pPr>
              <w:spacing w:line="360" w:lineRule="auto"/>
              <w:jc w:val="center"/>
              <w:rPr>
                <w:rFonts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4DFBB75D">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1、关于证明材料或资料：</w:t>
            </w:r>
          </w:p>
          <w:p w14:paraId="24A59EEC">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19DC3F3B">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7B81D0B1">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2、关于“全称”、“投标人代表签字”及“加盖单位公章”：</w:t>
            </w:r>
          </w:p>
          <w:p w14:paraId="0AC6866E">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a.在电子投标文件中，涉及“全称”和“投标人代表签字”的内容可使用打字录入方式完成。</w:t>
            </w:r>
          </w:p>
          <w:p w14:paraId="25ACE3DC">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b.在电子投标文件中，涉及“加盖单位公章”的内容应使用投标人的CA证书完成，否则投标无效。</w:t>
            </w:r>
          </w:p>
          <w:p w14:paraId="24DD7CB6">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c.在电子投标文件中，若投标人按照第b项规定加盖其单位公章，则出现无全称、或投标人代表未签字等情形，不视为投标无效。</w:t>
            </w:r>
          </w:p>
          <w:p w14:paraId="5C1E0B2B">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3、关于投标截止时间过后，有下列情形之一的，其投标无效,其保证金不予退还：</w:t>
            </w:r>
          </w:p>
          <w:p w14:paraId="267CDDCF">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a.不同投标人的电子投标文件具有相同内部识别码；</w:t>
            </w:r>
          </w:p>
          <w:p w14:paraId="4778EDC9">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b.投标人的投标保证金同一采购包下有其他投标人提交的投标保证金；</w:t>
            </w:r>
          </w:p>
          <w:p w14:paraId="5729777C">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c.不同投标人存在串通投标的其他情形。</w:t>
            </w:r>
          </w:p>
          <w:p w14:paraId="1D40D32C">
            <w:pPr>
              <w:spacing w:line="360" w:lineRule="auto"/>
              <w:rPr>
                <w:rFonts w:ascii="宋体" w:hAnsi="宋体" w:cs="宋体"/>
                <w:color w:val="auto"/>
                <w:sz w:val="24"/>
                <w:szCs w:val="24"/>
                <w:highlight w:val="none"/>
              </w:rPr>
            </w:pPr>
          </w:p>
        </w:tc>
      </w:tr>
    </w:tbl>
    <w:p w14:paraId="3C55DDAF">
      <w:pPr>
        <w:tabs>
          <w:tab w:val="left" w:pos="-1080"/>
          <w:tab w:val="left" w:pos="180"/>
          <w:tab w:val="left" w:pos="1080"/>
        </w:tabs>
        <w:spacing w:line="360" w:lineRule="auto"/>
        <w:rPr>
          <w:rFonts w:ascii="宋体" w:hAnsi="宋体" w:cs="宋体"/>
          <w:b/>
          <w:color w:val="auto"/>
          <w:sz w:val="24"/>
          <w:szCs w:val="24"/>
          <w:highlight w:val="none"/>
        </w:rPr>
      </w:pPr>
    </w:p>
    <w:p w14:paraId="42FE5BC5">
      <w:pPr>
        <w:spacing w:line="360" w:lineRule="auto"/>
        <w:jc w:val="center"/>
        <w:rPr>
          <w:rFonts w:ascii="宋体" w:hAnsi="宋体" w:cs="宋体"/>
          <w:b/>
          <w:bCs/>
          <w:color w:val="auto"/>
          <w:sz w:val="24"/>
          <w:szCs w:val="24"/>
          <w:highlight w:val="none"/>
          <w:u w:val="single"/>
        </w:rPr>
      </w:pPr>
    </w:p>
    <w:p w14:paraId="50CB0146">
      <w:pPr>
        <w:spacing w:line="360" w:lineRule="auto"/>
        <w:jc w:val="center"/>
        <w:rPr>
          <w:rFonts w:ascii="宋体" w:hAnsi="宋体" w:cs="宋体"/>
          <w:b/>
          <w:bCs/>
          <w:color w:val="auto"/>
          <w:sz w:val="24"/>
          <w:szCs w:val="24"/>
          <w:highlight w:val="none"/>
          <w:u w:val="single"/>
        </w:rPr>
      </w:pPr>
    </w:p>
    <w:p w14:paraId="4AA6B267">
      <w:pPr>
        <w:spacing w:line="360" w:lineRule="auto"/>
        <w:jc w:val="center"/>
        <w:rPr>
          <w:rFonts w:ascii="宋体" w:hAnsi="宋体" w:cs="宋体"/>
          <w:b/>
          <w:bCs/>
          <w:color w:val="auto"/>
          <w:sz w:val="24"/>
          <w:szCs w:val="24"/>
          <w:highlight w:val="none"/>
          <w:u w:val="single"/>
        </w:rPr>
      </w:pPr>
    </w:p>
    <w:p w14:paraId="21340D59">
      <w:pPr>
        <w:spacing w:line="360" w:lineRule="auto"/>
        <w:jc w:val="center"/>
        <w:rPr>
          <w:rFonts w:ascii="宋体" w:hAnsi="宋体" w:cs="宋体"/>
          <w:b/>
          <w:bCs/>
          <w:color w:val="auto"/>
          <w:sz w:val="24"/>
          <w:szCs w:val="24"/>
          <w:highlight w:val="none"/>
          <w:u w:val="single"/>
        </w:rPr>
      </w:pPr>
    </w:p>
    <w:p w14:paraId="06C97C5E">
      <w:pPr>
        <w:spacing w:line="360" w:lineRule="auto"/>
        <w:jc w:val="center"/>
        <w:rPr>
          <w:rFonts w:ascii="宋体" w:hAnsi="宋体" w:cs="宋体"/>
          <w:b/>
          <w:bCs/>
          <w:color w:val="auto"/>
          <w:sz w:val="24"/>
          <w:szCs w:val="24"/>
          <w:highlight w:val="none"/>
          <w:u w:val="single"/>
        </w:rPr>
      </w:pPr>
    </w:p>
    <w:p w14:paraId="5987691F">
      <w:pPr>
        <w:spacing w:line="360" w:lineRule="auto"/>
        <w:jc w:val="center"/>
        <w:rPr>
          <w:rFonts w:ascii="宋体" w:hAnsi="宋体" w:cs="宋体"/>
          <w:b/>
          <w:bCs/>
          <w:color w:val="auto"/>
          <w:sz w:val="24"/>
          <w:szCs w:val="24"/>
          <w:highlight w:val="none"/>
          <w:u w:val="single"/>
        </w:rPr>
      </w:pPr>
    </w:p>
    <w:p w14:paraId="3883884B">
      <w:pPr>
        <w:spacing w:line="360" w:lineRule="auto"/>
        <w:jc w:val="both"/>
        <w:rPr>
          <w:rFonts w:ascii="宋体" w:hAnsi="宋体" w:cs="宋体"/>
          <w:b/>
          <w:bCs/>
          <w:color w:val="auto"/>
          <w:sz w:val="32"/>
          <w:szCs w:val="32"/>
          <w:highlight w:val="none"/>
          <w:u w:val="single"/>
        </w:rPr>
      </w:pPr>
    </w:p>
    <w:p w14:paraId="2A2AF766">
      <w:pPr>
        <w:spacing w:line="360" w:lineRule="auto"/>
        <w:ind w:firstLine="1285" w:firstLineChars="400"/>
        <w:jc w:val="both"/>
        <w:rPr>
          <w:rFonts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投标人须知前附表2:资格性、符合性检查表</w:t>
      </w:r>
    </w:p>
    <w:p w14:paraId="2D9AFCBC">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p w14:paraId="5F142B3B">
      <w:pPr>
        <w:spacing w:line="360" w:lineRule="auto"/>
        <w:ind w:firstLine="495"/>
        <w:rPr>
          <w:rFonts w:ascii="宋体" w:hAnsi="宋体" w:cs="宋体"/>
          <w:color w:val="auto"/>
          <w:sz w:val="24"/>
          <w:szCs w:val="24"/>
          <w:highlight w:val="none"/>
        </w:rPr>
      </w:pPr>
    </w:p>
    <w:tbl>
      <w:tblPr>
        <w:tblStyle w:val="12"/>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27E6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Pr>
          <w:p w14:paraId="3E46CFF7">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6935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0FF7D7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项</w:t>
            </w:r>
          </w:p>
          <w:p w14:paraId="565A29CE">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号</w:t>
            </w:r>
          </w:p>
        </w:tc>
        <w:tc>
          <w:tcPr>
            <w:tcW w:w="696" w:type="dxa"/>
            <w:tcBorders>
              <w:bottom w:val="single" w:color="auto" w:sz="4" w:space="0"/>
            </w:tcBorders>
            <w:vAlign w:val="center"/>
          </w:tcPr>
          <w:p w14:paraId="396B3054">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章</w:t>
            </w:r>
          </w:p>
        </w:tc>
        <w:tc>
          <w:tcPr>
            <w:tcW w:w="1422" w:type="dxa"/>
            <w:tcBorders>
              <w:bottom w:val="single" w:color="auto" w:sz="4" w:space="0"/>
            </w:tcBorders>
            <w:vAlign w:val="center"/>
          </w:tcPr>
          <w:p w14:paraId="2A610CA7">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5925" w:type="dxa"/>
            <w:tcBorders>
              <w:bottom w:val="single" w:color="auto" w:sz="4" w:space="0"/>
            </w:tcBorders>
            <w:vAlign w:val="center"/>
          </w:tcPr>
          <w:p w14:paraId="01D24366">
            <w:pPr>
              <w:tabs>
                <w:tab w:val="left" w:pos="2848"/>
              </w:tabs>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47B6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200258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4039B82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03AD90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vAlign w:val="center"/>
          </w:tcPr>
          <w:p w14:paraId="283F3E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合格的投标人</w:t>
            </w:r>
          </w:p>
          <w:p w14:paraId="7B2E9E2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7978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C645D1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5C5953F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6293D5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vAlign w:val="center"/>
          </w:tcPr>
          <w:p w14:paraId="54723E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8A9B6D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投标人应具备《中华人民共和国政府采购法》第二十二条第一款规定的条件，并提供以下材料：</w:t>
            </w:r>
          </w:p>
          <w:p w14:paraId="513F279E">
            <w:pPr>
              <w:spacing w:line="360" w:lineRule="auto"/>
              <w:ind w:firstLine="319" w:firstLineChars="133"/>
              <w:rPr>
                <w:rFonts w:ascii="宋体" w:hAnsi="宋体" w:cs="宋体"/>
                <w:color w:val="auto"/>
                <w:sz w:val="24"/>
                <w:szCs w:val="24"/>
                <w:highlight w:val="none"/>
              </w:rPr>
            </w:pPr>
            <w:r>
              <w:rPr>
                <w:rFonts w:hint="eastAsia" w:ascii="宋体" w:hAnsi="宋体" w:cs="宋体"/>
                <w:color w:val="auto"/>
                <w:sz w:val="24"/>
                <w:szCs w:val="24"/>
                <w:highlight w:val="none"/>
              </w:rPr>
              <w:t>（1）法人或者其他组织的营业执照等证明文件，自然人的身份证明；</w:t>
            </w:r>
          </w:p>
          <w:p w14:paraId="6FC23A59">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投标人是法人或者其他组织的应提供营业执照等证明文件，投标人是自然人的应提供有效的自然人身份证明。</w:t>
            </w:r>
          </w:p>
          <w:p w14:paraId="47D5C32B">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（2）投标人已提供加载有统一社会信用代码营业执照的，视为已提供税务登记证和组织机构代码证。</w:t>
            </w:r>
          </w:p>
          <w:p w14:paraId="69FD0CC7">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 xml:space="preserve"> （3）按要求提供福建省政府采购供应商资格承诺函。</w:t>
            </w:r>
          </w:p>
        </w:tc>
      </w:tr>
      <w:tr w14:paraId="79A3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927B784">
            <w:pPr>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0845EDE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11F0F9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vAlign w:val="center"/>
          </w:tcPr>
          <w:p w14:paraId="4F41D70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63FD38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70DD1F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7089EC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12BBAAE9">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6B3A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189FCA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5FA98BF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1A2CCE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vAlign w:val="center"/>
          </w:tcPr>
          <w:p w14:paraId="1125C13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2818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D5FD6A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15F4909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3A18E9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vAlign w:val="center"/>
          </w:tcPr>
          <w:p w14:paraId="3F0797D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0035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B3A8BB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33D1FCD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26CC73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vAlign w:val="center"/>
          </w:tcPr>
          <w:p w14:paraId="4A53E7E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60AA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DC9451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vAlign w:val="center"/>
          </w:tcPr>
          <w:p w14:paraId="5ED7CE49">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vAlign w:val="center"/>
          </w:tcPr>
          <w:p w14:paraId="5D7FC6FB">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vAlign w:val="center"/>
          </w:tcPr>
          <w:p w14:paraId="3D0E389C">
            <w:pPr>
              <w:tabs>
                <w:tab w:val="left" w:pos="630"/>
              </w:tabs>
              <w:spacing w:line="360" w:lineRule="auto"/>
              <w:ind w:firstLine="560"/>
              <w:rPr>
                <w:rFonts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经查询，投标人（包括联合体各方，联合体成员存在不良记录的，视同联合体存在不良信用记录，认定联合体资格审查不合格）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F58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437539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tcPr>
          <w:p w14:paraId="4ED64AD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422" w:type="dxa"/>
            <w:tcBorders>
              <w:top w:val="single" w:color="auto" w:sz="4" w:space="0"/>
              <w:left w:val="single" w:color="auto" w:sz="4" w:space="0"/>
              <w:bottom w:val="single" w:color="auto" w:sz="4" w:space="0"/>
              <w:right w:val="single" w:color="auto" w:sz="4" w:space="0"/>
            </w:tcBorders>
          </w:tcPr>
          <w:p w14:paraId="3B3093E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5925" w:type="dxa"/>
            <w:tcBorders>
              <w:top w:val="single" w:color="auto" w:sz="4" w:space="0"/>
              <w:left w:val="single" w:color="auto" w:sz="4" w:space="0"/>
              <w:bottom w:val="single" w:color="auto" w:sz="4" w:space="0"/>
              <w:right w:val="single" w:color="auto" w:sz="4" w:space="0"/>
            </w:tcBorders>
          </w:tcPr>
          <w:p w14:paraId="2B8B78D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p>
        </w:tc>
      </w:tr>
      <w:tr w14:paraId="15EC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21AE9E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tcPr>
          <w:p w14:paraId="5AC02453">
            <w:pPr>
              <w:spacing w:line="360" w:lineRule="auto"/>
              <w:jc w:val="center"/>
              <w:rPr>
                <w:rFonts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tcPr>
          <w:p w14:paraId="0186F47C">
            <w:pPr>
              <w:spacing w:line="360" w:lineRule="auto"/>
              <w:jc w:val="center"/>
              <w:rPr>
                <w:rFonts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tcPr>
          <w:p w14:paraId="06A86E51">
            <w:pPr>
              <w:spacing w:line="360" w:lineRule="auto"/>
              <w:ind w:firstLine="480" w:firstLineChars="200"/>
              <w:rPr>
                <w:rFonts w:ascii="宋体" w:hAnsi="宋体" w:cs="宋体"/>
                <w:color w:val="auto"/>
                <w:sz w:val="24"/>
                <w:szCs w:val="24"/>
                <w:highlight w:val="none"/>
              </w:rPr>
            </w:pPr>
          </w:p>
        </w:tc>
      </w:tr>
      <w:tr w14:paraId="296E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vAlign w:val="center"/>
          </w:tcPr>
          <w:p w14:paraId="6A513913">
            <w:pPr>
              <w:spacing w:line="360" w:lineRule="auto"/>
              <w:ind w:firstLine="3373" w:firstLineChars="1400"/>
              <w:rPr>
                <w:rFonts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1621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C9AEA4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vAlign w:val="center"/>
          </w:tcPr>
          <w:p w14:paraId="4B0A973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vAlign w:val="center"/>
          </w:tcPr>
          <w:p w14:paraId="69AC27B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vAlign w:val="center"/>
          </w:tcPr>
          <w:p w14:paraId="5E74820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6BFE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4101F5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7AE3778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vAlign w:val="center"/>
          </w:tcPr>
          <w:p w14:paraId="7B79A81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tcPr>
          <w:p w14:paraId="4E33F06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5D74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980866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7642E00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585404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vAlign w:val="center"/>
          </w:tcPr>
          <w:p w14:paraId="5B941FB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7A44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0B4E08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5EE8664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66FE4A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vAlign w:val="center"/>
          </w:tcPr>
          <w:p w14:paraId="43362B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0028876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2883D2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07679A5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tc>
      </w:tr>
      <w:tr w14:paraId="5DDD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CE33A1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49A827E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9E7336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vAlign w:val="center"/>
          </w:tcPr>
          <w:p w14:paraId="04F1926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04BA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9F65E6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143EEEB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897CD8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vAlign w:val="center"/>
          </w:tcPr>
          <w:p w14:paraId="18D07E6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7C8D8C1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5F7631E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45B0BAF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5F754AB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62013E4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7321C1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73BFCD6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232D97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7485640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587A813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6E237BE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7B89DA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5ED8438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041A0A2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（14）由同一人或分别由几个有</w:t>
            </w:r>
            <w:r>
              <w:rPr>
                <w:rFonts w:hint="eastAsia" w:ascii="宋体" w:hAnsi="宋体" w:cs="宋体"/>
                <w:color w:val="auto"/>
                <w:sz w:val="24"/>
                <w:szCs w:val="24"/>
                <w:highlight w:val="none"/>
              </w:rPr>
              <w:t>利害关系的人</w:t>
            </w:r>
            <w:r>
              <w:rPr>
                <w:rFonts w:hint="eastAsia" w:ascii="宋体" w:hAnsi="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7C7D7FB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26DF9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626B3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0414451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6E6AFE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tcPr>
          <w:p w14:paraId="63202AF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tc>
      </w:tr>
      <w:tr w14:paraId="294C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A28699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vAlign w:val="center"/>
          </w:tcPr>
          <w:p w14:paraId="3D142CA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27479D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tcPr>
          <w:p w14:paraId="766C07F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3511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EB0F18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vAlign w:val="center"/>
          </w:tcPr>
          <w:p w14:paraId="793563C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0ECD984">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vAlign w:val="center"/>
          </w:tcPr>
          <w:p w14:paraId="18A21FA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013AD1F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开标一览表</w:t>
            </w:r>
          </w:p>
          <w:p w14:paraId="57A225E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商务条款响应书</w:t>
            </w:r>
          </w:p>
          <w:p w14:paraId="508F047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 技术条款响应书</w:t>
            </w:r>
          </w:p>
          <w:p w14:paraId="63BE54B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 投标书</w:t>
            </w:r>
          </w:p>
          <w:p w14:paraId="15496B8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 投标分项报价表</w:t>
            </w:r>
          </w:p>
          <w:p w14:paraId="338CE22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 货物说明一览表</w:t>
            </w:r>
          </w:p>
          <w:p w14:paraId="79A92F7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 供货范围清单</w:t>
            </w:r>
          </w:p>
          <w:p w14:paraId="21204DC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技术规格和商务响应表</w:t>
            </w:r>
          </w:p>
          <w:p w14:paraId="43A64E3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 代理服务费承诺书</w:t>
            </w:r>
          </w:p>
          <w:p w14:paraId="39BF6BB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 投标保证金</w:t>
            </w:r>
          </w:p>
        </w:tc>
      </w:tr>
      <w:tr w14:paraId="29D7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3952A5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vAlign w:val="center"/>
          </w:tcPr>
          <w:p w14:paraId="2761C55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70972D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vAlign w:val="center"/>
          </w:tcPr>
          <w:p w14:paraId="5905BB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个日历日。有效期不足将导致其投标文件被拒绝。</w:t>
            </w:r>
          </w:p>
        </w:tc>
      </w:tr>
      <w:tr w14:paraId="4D47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EFDEAE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vAlign w:val="center"/>
          </w:tcPr>
          <w:p w14:paraId="3C8BAAA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CF178E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vAlign w:val="center"/>
          </w:tcPr>
          <w:p w14:paraId="4208E82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12.5未按要求缴交投标保证金的投标，将被视为无效投标。</w:t>
            </w:r>
          </w:p>
        </w:tc>
      </w:tr>
      <w:tr w14:paraId="6836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0B29B8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vAlign w:val="center"/>
          </w:tcPr>
          <w:p w14:paraId="32B4F15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ABC780B">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tcPr>
          <w:p w14:paraId="67656C2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tc>
      </w:tr>
      <w:tr w14:paraId="42A0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2602AD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vAlign w:val="center"/>
          </w:tcPr>
          <w:p w14:paraId="4A33A62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08C13C3">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tcPr>
          <w:p w14:paraId="55FA193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tc>
      </w:tr>
      <w:tr w14:paraId="5981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0F0141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vAlign w:val="center"/>
          </w:tcPr>
          <w:p w14:paraId="1425B74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8903242">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tcPr>
          <w:p w14:paraId="1E49AE5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7B1C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D8D228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vAlign w:val="center"/>
          </w:tcPr>
          <w:p w14:paraId="63E0F0B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4BF1043">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tcPr>
          <w:p w14:paraId="74F48DA8">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1167D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C8A962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vAlign w:val="center"/>
          </w:tcPr>
          <w:p w14:paraId="58389C4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32E59F4">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tcPr>
          <w:p w14:paraId="48369327">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72D3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DE9903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vAlign w:val="center"/>
          </w:tcPr>
          <w:p w14:paraId="0C9EB66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69316CB">
            <w:pPr>
              <w:spacing w:line="360" w:lineRule="auto"/>
              <w:jc w:val="center"/>
              <w:rPr>
                <w:rFonts w:ascii="宋体" w:hAnsi="宋体" w:cs="宋体"/>
                <w:b/>
                <w:color w:val="auto"/>
                <w:sz w:val="24"/>
                <w:szCs w:val="24"/>
                <w:highlight w:val="none"/>
              </w:rPr>
            </w:pPr>
            <w:r>
              <w:rPr>
                <w:rFonts w:hint="eastAsia" w:ascii="宋体" w:hAnsi="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tcPr>
          <w:p w14:paraId="218144F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BADD8A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5EA7BF8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2570EC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7DB31CF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7F03E9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0526F0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1B0645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7106578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2749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30017F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vAlign w:val="center"/>
          </w:tcPr>
          <w:p w14:paraId="75D25B7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BB50288">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tcPr>
          <w:p w14:paraId="5E6A84C2">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7E05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00D1DF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vAlign w:val="center"/>
          </w:tcPr>
          <w:p w14:paraId="67DE0C9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EDB1F4F">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vAlign w:val="center"/>
          </w:tcPr>
          <w:p w14:paraId="5CF0D21A">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tc>
      </w:tr>
      <w:tr w14:paraId="6D61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vAlign w:val="center"/>
          </w:tcPr>
          <w:p w14:paraId="72B59C4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19</w:t>
            </w:r>
          </w:p>
        </w:tc>
        <w:tc>
          <w:tcPr>
            <w:tcW w:w="696" w:type="dxa"/>
            <w:tcBorders>
              <w:top w:val="single" w:color="auto" w:sz="4" w:space="0"/>
            </w:tcBorders>
            <w:vAlign w:val="center"/>
          </w:tcPr>
          <w:p w14:paraId="331E0E0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tcBorders>
            <w:vAlign w:val="center"/>
          </w:tcPr>
          <w:p w14:paraId="0C0D6C04">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17.3.5</w:t>
            </w:r>
          </w:p>
        </w:tc>
        <w:tc>
          <w:tcPr>
            <w:tcW w:w="5925" w:type="dxa"/>
            <w:tcBorders>
              <w:top w:val="single" w:color="auto" w:sz="4" w:space="0"/>
            </w:tcBorders>
            <w:vAlign w:val="center"/>
          </w:tcPr>
          <w:p w14:paraId="5BAA0E6F">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468112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7DD4F1D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1D059AD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3472A6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22454E7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709323D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tc>
      </w:tr>
      <w:tr w14:paraId="6E52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C8A475E">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20</w:t>
            </w:r>
          </w:p>
        </w:tc>
        <w:tc>
          <w:tcPr>
            <w:tcW w:w="696" w:type="dxa"/>
            <w:vAlign w:val="center"/>
          </w:tcPr>
          <w:p w14:paraId="674CB93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4186234A">
            <w:pPr>
              <w:spacing w:line="360" w:lineRule="auto"/>
              <w:jc w:val="center"/>
              <w:rPr>
                <w:rFonts w:ascii="宋体" w:hAnsi="宋体" w:cs="宋体"/>
                <w:color w:val="auto"/>
                <w:sz w:val="24"/>
                <w:szCs w:val="24"/>
                <w:highlight w:val="none"/>
              </w:rPr>
            </w:pPr>
            <w:r>
              <w:rPr>
                <w:rFonts w:hint="eastAsia" w:ascii="宋体" w:hAnsi="宋体" w:cs="宋体"/>
                <w:b/>
                <w:color w:val="auto"/>
                <w:kern w:val="0"/>
                <w:sz w:val="24"/>
                <w:szCs w:val="24"/>
                <w:highlight w:val="none"/>
              </w:rPr>
              <w:t>17.3.6</w:t>
            </w:r>
          </w:p>
        </w:tc>
        <w:tc>
          <w:tcPr>
            <w:tcW w:w="5925" w:type="dxa"/>
            <w:vAlign w:val="center"/>
          </w:tcPr>
          <w:p w14:paraId="3B971D75">
            <w:pPr>
              <w:spacing w:line="360" w:lineRule="auto"/>
              <w:jc w:val="left"/>
              <w:rPr>
                <w:rFonts w:ascii="宋体" w:hAnsi="宋体" w:cs="宋体"/>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2A78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46C7214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21</w:t>
            </w:r>
          </w:p>
        </w:tc>
        <w:tc>
          <w:tcPr>
            <w:tcW w:w="696" w:type="dxa"/>
            <w:vAlign w:val="center"/>
          </w:tcPr>
          <w:p w14:paraId="3EF6BA5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36917837">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19.3</w:t>
            </w:r>
          </w:p>
        </w:tc>
        <w:tc>
          <w:tcPr>
            <w:tcW w:w="5925" w:type="dxa"/>
            <w:vAlign w:val="center"/>
          </w:tcPr>
          <w:p w14:paraId="21D63D6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02C9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73F1AB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22</w:t>
            </w:r>
          </w:p>
        </w:tc>
        <w:tc>
          <w:tcPr>
            <w:tcW w:w="696" w:type="dxa"/>
            <w:vAlign w:val="center"/>
          </w:tcPr>
          <w:p w14:paraId="27D86EB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6140006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22</w:t>
            </w:r>
          </w:p>
        </w:tc>
        <w:tc>
          <w:tcPr>
            <w:tcW w:w="5925" w:type="dxa"/>
            <w:vAlign w:val="center"/>
          </w:tcPr>
          <w:p w14:paraId="5BD07033">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1BDA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4DD2D00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23</w:t>
            </w:r>
          </w:p>
        </w:tc>
        <w:tc>
          <w:tcPr>
            <w:tcW w:w="696" w:type="dxa"/>
            <w:vAlign w:val="center"/>
          </w:tcPr>
          <w:p w14:paraId="6FF79522">
            <w:pPr>
              <w:spacing w:line="360" w:lineRule="auto"/>
              <w:jc w:val="center"/>
              <w:rPr>
                <w:rFonts w:ascii="宋体" w:hAnsi="宋体" w:cs="宋体"/>
                <w:color w:val="auto"/>
                <w:sz w:val="24"/>
                <w:szCs w:val="24"/>
                <w:highlight w:val="none"/>
              </w:rPr>
            </w:pPr>
          </w:p>
        </w:tc>
        <w:tc>
          <w:tcPr>
            <w:tcW w:w="1422" w:type="dxa"/>
            <w:vAlign w:val="center"/>
          </w:tcPr>
          <w:p w14:paraId="720A28F2">
            <w:pPr>
              <w:spacing w:line="360" w:lineRule="auto"/>
              <w:jc w:val="center"/>
              <w:rPr>
                <w:rFonts w:ascii="宋体" w:hAnsi="宋体" w:cs="宋体"/>
                <w:color w:val="auto"/>
                <w:sz w:val="24"/>
                <w:szCs w:val="24"/>
                <w:highlight w:val="none"/>
              </w:rPr>
            </w:pPr>
          </w:p>
        </w:tc>
        <w:tc>
          <w:tcPr>
            <w:tcW w:w="5925" w:type="dxa"/>
            <w:vAlign w:val="center"/>
          </w:tcPr>
          <w:p w14:paraId="0A24A6AB">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6FBB8221">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40B42C79">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②在投标文件中提供各方盖章签署的共同投标协议扫描件。</w:t>
            </w:r>
          </w:p>
        </w:tc>
      </w:tr>
      <w:tr w14:paraId="4F6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40AA7762">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24</w:t>
            </w:r>
          </w:p>
        </w:tc>
        <w:tc>
          <w:tcPr>
            <w:tcW w:w="696" w:type="dxa"/>
            <w:vAlign w:val="center"/>
          </w:tcPr>
          <w:p w14:paraId="65705440">
            <w:pPr>
              <w:spacing w:line="360" w:lineRule="auto"/>
              <w:jc w:val="center"/>
              <w:rPr>
                <w:rFonts w:ascii="宋体" w:hAnsi="宋体" w:cs="宋体"/>
                <w:color w:val="auto"/>
                <w:sz w:val="24"/>
                <w:szCs w:val="24"/>
                <w:highlight w:val="none"/>
              </w:rPr>
            </w:pPr>
          </w:p>
        </w:tc>
        <w:tc>
          <w:tcPr>
            <w:tcW w:w="1422" w:type="dxa"/>
            <w:vAlign w:val="center"/>
          </w:tcPr>
          <w:p w14:paraId="5A721035">
            <w:pPr>
              <w:spacing w:line="360" w:lineRule="auto"/>
              <w:jc w:val="center"/>
              <w:rPr>
                <w:rFonts w:ascii="宋体" w:hAnsi="宋体" w:cs="宋体"/>
                <w:color w:val="auto"/>
                <w:sz w:val="24"/>
                <w:szCs w:val="24"/>
                <w:highlight w:val="none"/>
              </w:rPr>
            </w:pPr>
          </w:p>
        </w:tc>
        <w:tc>
          <w:tcPr>
            <w:tcW w:w="5925" w:type="dxa"/>
            <w:vAlign w:val="center"/>
          </w:tcPr>
          <w:p w14:paraId="57876275">
            <w:pPr>
              <w:spacing w:line="360" w:lineRule="auto"/>
              <w:jc w:val="left"/>
              <w:rPr>
                <w:rFonts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投标文件中不得附有采购单位（或使用单位）不能接受的条款，</w:t>
            </w:r>
            <w:r>
              <w:rPr>
                <w:rFonts w:hint="eastAsia" w:ascii="宋体" w:hAnsi="宋体" w:cs="宋体"/>
                <w:color w:val="auto"/>
                <w:sz w:val="24"/>
                <w:szCs w:val="24"/>
                <w:highlight w:val="none"/>
              </w:rPr>
              <w:t>否则该投标人的投标将按照无效投标处理。</w:t>
            </w:r>
          </w:p>
        </w:tc>
      </w:tr>
      <w:tr w14:paraId="00DD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301C6FFD">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25</w:t>
            </w:r>
          </w:p>
        </w:tc>
        <w:tc>
          <w:tcPr>
            <w:tcW w:w="696" w:type="dxa"/>
            <w:vAlign w:val="center"/>
          </w:tcPr>
          <w:p w14:paraId="637F516D">
            <w:pPr>
              <w:pStyle w:val="2"/>
              <w:snapToGrid w:val="0"/>
              <w:spacing w:line="360" w:lineRule="auto"/>
              <w:ind w:firstLine="0"/>
              <w:jc w:val="center"/>
              <w:rPr>
                <w:rFonts w:ascii="宋体" w:hAnsi="宋体" w:cs="宋体"/>
                <w:color w:val="auto"/>
                <w:sz w:val="24"/>
                <w:szCs w:val="24"/>
                <w:highlight w:val="none"/>
              </w:rPr>
            </w:pPr>
          </w:p>
        </w:tc>
        <w:tc>
          <w:tcPr>
            <w:tcW w:w="1422" w:type="dxa"/>
            <w:vAlign w:val="center"/>
          </w:tcPr>
          <w:p w14:paraId="127A5338">
            <w:pPr>
              <w:pStyle w:val="2"/>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6F68A551">
            <w:pPr>
              <w:pStyle w:val="2"/>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6983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1EADA6B9">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26</w:t>
            </w:r>
          </w:p>
        </w:tc>
        <w:tc>
          <w:tcPr>
            <w:tcW w:w="696" w:type="dxa"/>
            <w:vAlign w:val="center"/>
          </w:tcPr>
          <w:p w14:paraId="58BD8421">
            <w:pPr>
              <w:pStyle w:val="2"/>
              <w:snapToGrid w:val="0"/>
              <w:spacing w:line="360" w:lineRule="auto"/>
              <w:ind w:firstLine="0"/>
              <w:jc w:val="center"/>
              <w:rPr>
                <w:rFonts w:ascii="宋体" w:hAnsi="宋体" w:cs="宋体"/>
                <w:b/>
                <w:color w:val="auto"/>
                <w:sz w:val="24"/>
                <w:szCs w:val="24"/>
                <w:highlight w:val="none"/>
              </w:rPr>
            </w:pPr>
          </w:p>
        </w:tc>
        <w:tc>
          <w:tcPr>
            <w:tcW w:w="1422" w:type="dxa"/>
            <w:vAlign w:val="center"/>
          </w:tcPr>
          <w:p w14:paraId="045E58BD">
            <w:pPr>
              <w:pStyle w:val="2"/>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7714247D">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40192014">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578D4181">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4355679F">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104A57C1">
            <w:pPr>
              <w:pStyle w:val="2"/>
              <w:snapToGrid w:val="0"/>
              <w:spacing w:line="360" w:lineRule="auto"/>
              <w:ind w:firstLine="0"/>
              <w:jc w:val="left"/>
              <w:rPr>
                <w:rFonts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7830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584B62F">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27</w:t>
            </w:r>
          </w:p>
        </w:tc>
        <w:tc>
          <w:tcPr>
            <w:tcW w:w="696" w:type="dxa"/>
            <w:vAlign w:val="center"/>
          </w:tcPr>
          <w:p w14:paraId="3E935186">
            <w:pPr>
              <w:pStyle w:val="2"/>
              <w:snapToGrid w:val="0"/>
              <w:spacing w:line="360" w:lineRule="auto"/>
              <w:ind w:firstLine="0"/>
              <w:jc w:val="center"/>
              <w:rPr>
                <w:rFonts w:ascii="宋体" w:hAnsi="宋体" w:cs="宋体"/>
                <w:b/>
                <w:color w:val="auto"/>
                <w:sz w:val="24"/>
                <w:szCs w:val="24"/>
                <w:highlight w:val="none"/>
              </w:rPr>
            </w:pPr>
          </w:p>
        </w:tc>
        <w:tc>
          <w:tcPr>
            <w:tcW w:w="1422" w:type="dxa"/>
            <w:vAlign w:val="center"/>
          </w:tcPr>
          <w:p w14:paraId="7F4535B4">
            <w:pPr>
              <w:pStyle w:val="2"/>
              <w:snapToGrid w:val="0"/>
              <w:spacing w:line="360" w:lineRule="auto"/>
              <w:ind w:firstLine="0"/>
              <w:jc w:val="center"/>
              <w:rPr>
                <w:rFonts w:ascii="宋体" w:hAnsi="宋体" w:cs="宋体"/>
                <w:b/>
                <w:color w:val="auto"/>
                <w:sz w:val="24"/>
                <w:szCs w:val="24"/>
                <w:highlight w:val="none"/>
              </w:rPr>
            </w:pPr>
          </w:p>
        </w:tc>
        <w:tc>
          <w:tcPr>
            <w:tcW w:w="5925" w:type="dxa"/>
            <w:vAlign w:val="center"/>
          </w:tcPr>
          <w:p w14:paraId="3907F1D8">
            <w:pPr>
              <w:pStyle w:val="2"/>
              <w:snapToGrid w:val="0"/>
              <w:spacing w:line="360" w:lineRule="auto"/>
              <w:ind w:firstLine="0"/>
              <w:jc w:val="left"/>
              <w:rPr>
                <w:rFonts w:ascii="宋体" w:hAnsi="宋体" w:cs="宋体"/>
                <w:color w:val="auto"/>
                <w:sz w:val="24"/>
                <w:szCs w:val="24"/>
                <w:highlight w:val="none"/>
              </w:rPr>
            </w:pPr>
            <w:r>
              <w:rPr>
                <w:rFonts w:hint="eastAsia" w:ascii="宋体" w:hAnsi="宋体" w:cs="宋体"/>
                <w:bCs/>
                <w:color w:val="auto"/>
                <w:sz w:val="24"/>
                <w:szCs w:val="24"/>
                <w:highlight w:val="none"/>
              </w:rPr>
              <w:t>全免交纳投标保证金的投标人未按照招标文件格式要求在投标文件中提供《中小企业声明函》的，其投标作无效投标处理。</w:t>
            </w:r>
          </w:p>
        </w:tc>
      </w:tr>
      <w:tr w14:paraId="5A07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397F10BE">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28</w:t>
            </w:r>
          </w:p>
        </w:tc>
        <w:tc>
          <w:tcPr>
            <w:tcW w:w="696" w:type="dxa"/>
            <w:tcBorders>
              <w:bottom w:val="single" w:color="auto" w:sz="4" w:space="0"/>
            </w:tcBorders>
            <w:vAlign w:val="center"/>
          </w:tcPr>
          <w:p w14:paraId="2798965B">
            <w:pPr>
              <w:pStyle w:val="2"/>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vAlign w:val="center"/>
          </w:tcPr>
          <w:p w14:paraId="1DAF36E1">
            <w:pPr>
              <w:pStyle w:val="2"/>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vAlign w:val="center"/>
          </w:tcPr>
          <w:p w14:paraId="3CFE914B">
            <w:pPr>
              <w:pStyle w:val="2"/>
              <w:snapToGrid w:val="0"/>
              <w:spacing w:line="360" w:lineRule="auto"/>
              <w:ind w:firstLine="0"/>
              <w:rPr>
                <w:rFonts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00E1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1465C24F">
            <w:pPr>
              <w:pStyle w:val="2"/>
              <w:snapToGrid w:val="0"/>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29</w:t>
            </w:r>
          </w:p>
        </w:tc>
        <w:tc>
          <w:tcPr>
            <w:tcW w:w="696" w:type="dxa"/>
            <w:tcBorders>
              <w:bottom w:val="single" w:color="auto" w:sz="4" w:space="0"/>
            </w:tcBorders>
            <w:vAlign w:val="center"/>
          </w:tcPr>
          <w:p w14:paraId="6171E2D0">
            <w:pPr>
              <w:pStyle w:val="2"/>
              <w:snapToGrid w:val="0"/>
              <w:spacing w:line="360" w:lineRule="auto"/>
              <w:ind w:firstLine="0"/>
              <w:jc w:val="center"/>
              <w:rPr>
                <w:rFonts w:ascii="宋体" w:hAnsi="宋体" w:cs="宋体"/>
                <w:b/>
                <w:color w:val="auto"/>
                <w:sz w:val="24"/>
                <w:szCs w:val="24"/>
                <w:highlight w:val="none"/>
              </w:rPr>
            </w:pPr>
          </w:p>
        </w:tc>
        <w:tc>
          <w:tcPr>
            <w:tcW w:w="1422" w:type="dxa"/>
            <w:tcBorders>
              <w:bottom w:val="single" w:color="auto" w:sz="4" w:space="0"/>
            </w:tcBorders>
            <w:vAlign w:val="center"/>
          </w:tcPr>
          <w:p w14:paraId="1AF73D6E">
            <w:pPr>
              <w:pStyle w:val="2"/>
              <w:snapToGrid w:val="0"/>
              <w:spacing w:line="360" w:lineRule="auto"/>
              <w:ind w:firstLine="0"/>
              <w:jc w:val="center"/>
              <w:rPr>
                <w:rFonts w:ascii="宋体" w:hAnsi="宋体" w:cs="宋体"/>
                <w:b/>
                <w:color w:val="auto"/>
                <w:sz w:val="24"/>
                <w:szCs w:val="24"/>
                <w:highlight w:val="none"/>
              </w:rPr>
            </w:pPr>
          </w:p>
        </w:tc>
        <w:tc>
          <w:tcPr>
            <w:tcW w:w="5925" w:type="dxa"/>
            <w:tcBorders>
              <w:bottom w:val="single" w:color="auto" w:sz="4" w:space="0"/>
            </w:tcBorders>
            <w:vAlign w:val="center"/>
          </w:tcPr>
          <w:p w14:paraId="02C3798B">
            <w:pPr>
              <w:spacing w:line="360" w:lineRule="auto"/>
              <w:rPr>
                <w:rFonts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7628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418B370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w:t>
            </w:r>
          </w:p>
        </w:tc>
        <w:tc>
          <w:tcPr>
            <w:tcW w:w="696" w:type="dxa"/>
            <w:tcBorders>
              <w:bottom w:val="single" w:color="auto" w:sz="4" w:space="0"/>
            </w:tcBorders>
            <w:vAlign w:val="center"/>
          </w:tcPr>
          <w:p w14:paraId="4793E4D0">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5226CB16">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70D0B11A">
            <w:pPr>
              <w:pStyle w:val="17"/>
              <w:spacing w:line="360" w:lineRule="auto"/>
              <w:rPr>
                <w:rFonts w:hAnsi="宋体" w:cs="宋体"/>
                <w:color w:val="auto"/>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59854F2D">
            <w:pPr>
              <w:spacing w:line="360" w:lineRule="auto"/>
              <w:rPr>
                <w:rFonts w:ascii="宋体" w:hAnsi="宋体" w:cs="宋体"/>
                <w:color w:val="auto"/>
                <w:sz w:val="24"/>
                <w:szCs w:val="24"/>
                <w:highlight w:val="none"/>
              </w:rPr>
            </w:pPr>
          </w:p>
        </w:tc>
      </w:tr>
      <w:tr w14:paraId="2290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B8806E6">
            <w:pPr>
              <w:spacing w:line="360" w:lineRule="auto"/>
              <w:jc w:val="center"/>
              <w:rPr>
                <w:rFonts w:ascii="宋体" w:hAnsi="宋体" w:cs="宋体"/>
                <w:color w:val="auto"/>
                <w:sz w:val="24"/>
                <w:szCs w:val="24"/>
                <w:highlight w:val="none"/>
              </w:rPr>
            </w:pPr>
          </w:p>
        </w:tc>
        <w:tc>
          <w:tcPr>
            <w:tcW w:w="696" w:type="dxa"/>
            <w:tcBorders>
              <w:bottom w:val="single" w:color="auto" w:sz="4" w:space="0"/>
            </w:tcBorders>
            <w:vAlign w:val="center"/>
          </w:tcPr>
          <w:p w14:paraId="5DB8423B">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24D71F0D">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136A0884">
            <w:pPr>
              <w:spacing w:line="360" w:lineRule="auto"/>
              <w:rPr>
                <w:rFonts w:ascii="宋体" w:hAnsi="宋体" w:cs="宋体"/>
                <w:color w:val="auto"/>
                <w:sz w:val="24"/>
                <w:szCs w:val="24"/>
                <w:highlight w:val="none"/>
              </w:rPr>
            </w:pPr>
          </w:p>
        </w:tc>
      </w:tr>
      <w:tr w14:paraId="414B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3EF2B802">
            <w:pPr>
              <w:spacing w:line="360" w:lineRule="auto"/>
              <w:jc w:val="center"/>
              <w:rPr>
                <w:rFonts w:ascii="宋体" w:hAnsi="宋体" w:cs="宋体"/>
                <w:color w:val="auto"/>
                <w:sz w:val="24"/>
                <w:szCs w:val="24"/>
                <w:highlight w:val="none"/>
              </w:rPr>
            </w:pPr>
          </w:p>
        </w:tc>
        <w:tc>
          <w:tcPr>
            <w:tcW w:w="696" w:type="dxa"/>
            <w:tcBorders>
              <w:bottom w:val="single" w:color="auto" w:sz="4" w:space="0"/>
            </w:tcBorders>
            <w:vAlign w:val="center"/>
          </w:tcPr>
          <w:p w14:paraId="3593866D">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254F29AC">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58F0AF22">
            <w:pPr>
              <w:spacing w:line="360" w:lineRule="auto"/>
              <w:rPr>
                <w:rFonts w:ascii="宋体" w:hAnsi="宋体" w:cs="宋体"/>
                <w:color w:val="auto"/>
                <w:sz w:val="24"/>
                <w:szCs w:val="24"/>
                <w:highlight w:val="none"/>
              </w:rPr>
            </w:pPr>
          </w:p>
        </w:tc>
      </w:tr>
      <w:tr w14:paraId="39BA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92113F4">
            <w:pPr>
              <w:spacing w:line="360" w:lineRule="auto"/>
              <w:jc w:val="center"/>
              <w:rPr>
                <w:rFonts w:ascii="宋体" w:hAnsi="宋体" w:cs="宋体"/>
                <w:color w:val="auto"/>
                <w:sz w:val="24"/>
                <w:szCs w:val="24"/>
                <w:highlight w:val="none"/>
              </w:rPr>
            </w:pPr>
          </w:p>
        </w:tc>
        <w:tc>
          <w:tcPr>
            <w:tcW w:w="696" w:type="dxa"/>
            <w:tcBorders>
              <w:bottom w:val="single" w:color="auto" w:sz="4" w:space="0"/>
            </w:tcBorders>
            <w:vAlign w:val="center"/>
          </w:tcPr>
          <w:p w14:paraId="1D5568C9">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1C02EB02">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1A01EEC4">
            <w:pPr>
              <w:spacing w:line="360" w:lineRule="auto"/>
              <w:rPr>
                <w:rFonts w:ascii="宋体" w:hAnsi="宋体" w:cs="宋体"/>
                <w:color w:val="auto"/>
                <w:sz w:val="24"/>
                <w:szCs w:val="24"/>
                <w:highlight w:val="none"/>
              </w:rPr>
            </w:pPr>
          </w:p>
        </w:tc>
      </w:tr>
      <w:tr w14:paraId="6665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144A7FA3">
            <w:pPr>
              <w:spacing w:line="360" w:lineRule="auto"/>
              <w:jc w:val="center"/>
              <w:rPr>
                <w:rFonts w:ascii="宋体" w:hAnsi="宋体" w:cs="宋体"/>
                <w:color w:val="auto"/>
                <w:sz w:val="24"/>
                <w:szCs w:val="24"/>
                <w:highlight w:val="none"/>
              </w:rPr>
            </w:pPr>
          </w:p>
        </w:tc>
        <w:tc>
          <w:tcPr>
            <w:tcW w:w="696" w:type="dxa"/>
            <w:tcBorders>
              <w:bottom w:val="single" w:color="auto" w:sz="4" w:space="0"/>
            </w:tcBorders>
            <w:vAlign w:val="center"/>
          </w:tcPr>
          <w:p w14:paraId="0A2FED05">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3C8FDF14">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48E280C0">
            <w:pPr>
              <w:spacing w:line="360" w:lineRule="auto"/>
              <w:rPr>
                <w:rFonts w:ascii="宋体" w:hAnsi="宋体" w:cs="宋体"/>
                <w:color w:val="auto"/>
                <w:sz w:val="24"/>
                <w:szCs w:val="24"/>
                <w:highlight w:val="none"/>
              </w:rPr>
            </w:pPr>
          </w:p>
        </w:tc>
      </w:tr>
      <w:tr w14:paraId="2A58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503D245">
            <w:pPr>
              <w:spacing w:line="360" w:lineRule="auto"/>
              <w:jc w:val="center"/>
              <w:rPr>
                <w:rFonts w:ascii="宋体" w:hAnsi="宋体" w:cs="宋体"/>
                <w:color w:val="auto"/>
                <w:sz w:val="24"/>
                <w:szCs w:val="24"/>
                <w:highlight w:val="none"/>
              </w:rPr>
            </w:pPr>
          </w:p>
        </w:tc>
        <w:tc>
          <w:tcPr>
            <w:tcW w:w="696" w:type="dxa"/>
            <w:tcBorders>
              <w:bottom w:val="single" w:color="auto" w:sz="4" w:space="0"/>
            </w:tcBorders>
            <w:vAlign w:val="center"/>
          </w:tcPr>
          <w:p w14:paraId="1AE6DBDF">
            <w:pPr>
              <w:spacing w:line="360" w:lineRule="auto"/>
              <w:jc w:val="center"/>
              <w:rPr>
                <w:rFonts w:ascii="宋体" w:hAnsi="宋体" w:cs="宋体"/>
                <w:color w:val="auto"/>
                <w:sz w:val="24"/>
                <w:szCs w:val="24"/>
                <w:highlight w:val="none"/>
              </w:rPr>
            </w:pPr>
          </w:p>
        </w:tc>
        <w:tc>
          <w:tcPr>
            <w:tcW w:w="1422" w:type="dxa"/>
            <w:tcBorders>
              <w:bottom w:val="single" w:color="auto" w:sz="4" w:space="0"/>
            </w:tcBorders>
            <w:vAlign w:val="center"/>
          </w:tcPr>
          <w:p w14:paraId="21468C5C">
            <w:pPr>
              <w:spacing w:line="360" w:lineRule="auto"/>
              <w:jc w:val="center"/>
              <w:rPr>
                <w:rFonts w:ascii="宋体" w:hAnsi="宋体" w:cs="宋体"/>
                <w:color w:val="auto"/>
                <w:sz w:val="24"/>
                <w:szCs w:val="24"/>
                <w:highlight w:val="none"/>
              </w:rPr>
            </w:pPr>
          </w:p>
        </w:tc>
        <w:tc>
          <w:tcPr>
            <w:tcW w:w="5925" w:type="dxa"/>
            <w:tcBorders>
              <w:bottom w:val="single" w:color="auto" w:sz="4" w:space="0"/>
            </w:tcBorders>
            <w:vAlign w:val="center"/>
          </w:tcPr>
          <w:p w14:paraId="028819CC">
            <w:pPr>
              <w:spacing w:line="360" w:lineRule="auto"/>
              <w:rPr>
                <w:rFonts w:ascii="宋体" w:hAnsi="宋体" w:cs="宋体"/>
                <w:color w:val="auto"/>
                <w:sz w:val="24"/>
                <w:szCs w:val="24"/>
                <w:highlight w:val="none"/>
              </w:rPr>
            </w:pPr>
          </w:p>
        </w:tc>
      </w:tr>
      <w:tr w14:paraId="411A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tcPr>
          <w:p w14:paraId="4A585BF0">
            <w:pPr>
              <w:spacing w:line="360" w:lineRule="auto"/>
              <w:jc w:val="center"/>
              <w:rPr>
                <w:rFonts w:ascii="宋体" w:hAnsi="宋体" w:cs="宋体"/>
                <w:color w:val="auto"/>
                <w:sz w:val="24"/>
                <w:szCs w:val="24"/>
                <w:highlight w:val="none"/>
              </w:rPr>
            </w:pPr>
          </w:p>
        </w:tc>
        <w:tc>
          <w:tcPr>
            <w:tcW w:w="696" w:type="dxa"/>
            <w:tcBorders>
              <w:bottom w:val="single" w:color="auto" w:sz="4" w:space="0"/>
            </w:tcBorders>
          </w:tcPr>
          <w:p w14:paraId="48EADFAD">
            <w:pPr>
              <w:spacing w:line="360" w:lineRule="auto"/>
              <w:jc w:val="center"/>
              <w:rPr>
                <w:rFonts w:ascii="宋体" w:hAnsi="宋体" w:cs="宋体"/>
                <w:color w:val="auto"/>
                <w:sz w:val="24"/>
                <w:szCs w:val="24"/>
                <w:highlight w:val="none"/>
              </w:rPr>
            </w:pPr>
          </w:p>
        </w:tc>
        <w:tc>
          <w:tcPr>
            <w:tcW w:w="1422" w:type="dxa"/>
            <w:tcBorders>
              <w:bottom w:val="single" w:color="auto" w:sz="4" w:space="0"/>
            </w:tcBorders>
          </w:tcPr>
          <w:p w14:paraId="19A786A8">
            <w:pPr>
              <w:spacing w:line="360" w:lineRule="auto"/>
              <w:jc w:val="center"/>
              <w:rPr>
                <w:rFonts w:ascii="宋体" w:hAnsi="宋体" w:cs="宋体"/>
                <w:color w:val="auto"/>
                <w:sz w:val="24"/>
                <w:szCs w:val="24"/>
                <w:highlight w:val="none"/>
              </w:rPr>
            </w:pPr>
          </w:p>
        </w:tc>
        <w:tc>
          <w:tcPr>
            <w:tcW w:w="5925" w:type="dxa"/>
            <w:tcBorders>
              <w:bottom w:val="single" w:color="auto" w:sz="4" w:space="0"/>
            </w:tcBorders>
          </w:tcPr>
          <w:p w14:paraId="209DC923">
            <w:pPr>
              <w:spacing w:line="360" w:lineRule="auto"/>
              <w:rPr>
                <w:rFonts w:ascii="宋体" w:hAnsi="宋体" w:cs="宋体"/>
                <w:bCs/>
                <w:color w:val="auto"/>
                <w:sz w:val="24"/>
                <w:szCs w:val="24"/>
                <w:highlight w:val="none"/>
              </w:rPr>
            </w:pPr>
          </w:p>
        </w:tc>
      </w:tr>
    </w:tbl>
    <w:p w14:paraId="274658A1">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26AD5B27">
      <w:pPr>
        <w:spacing w:line="360" w:lineRule="auto"/>
        <w:ind w:firstLine="640" w:firstLineChars="200"/>
        <w:rPr>
          <w:rFonts w:ascii="宋体" w:hAnsi="宋体" w:cs="宋体"/>
          <w:b/>
          <w:color w:val="auto"/>
          <w:sz w:val="32"/>
          <w:szCs w:val="32"/>
          <w:highlight w:val="none"/>
          <w:u w:val="single"/>
        </w:rPr>
      </w:pPr>
      <w:r>
        <w:rPr>
          <w:rFonts w:hint="eastAsia" w:ascii="宋体" w:hAnsi="宋体" w:cs="宋体"/>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EB1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7BBA6886">
            <w:pPr>
              <w:pStyle w:val="2"/>
              <w:numPr>
                <w:ilvl w:val="0"/>
                <w:numId w:val="1"/>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评标方法：</w:t>
            </w:r>
          </w:p>
          <w:p w14:paraId="6FB7AC8A">
            <w:pPr>
              <w:pStyle w:val="2"/>
              <w:snapToGrid w:val="0"/>
              <w:spacing w:line="360" w:lineRule="auto"/>
              <w:ind w:left="480" w:firstLine="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44EC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7EE3FBC7">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二、评标标准：</w:t>
            </w:r>
          </w:p>
          <w:p w14:paraId="34CE82F4">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2A6E10B4">
            <w:pPr>
              <w:pStyle w:val="2"/>
              <w:snapToGrid w:val="0"/>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详见附件</w:t>
            </w:r>
          </w:p>
          <w:p w14:paraId="27E218F0">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75574785">
            <w:pPr>
              <w:pStyle w:val="2"/>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3</w:t>
            </w:r>
            <w:r>
              <w:rPr>
                <w:rFonts w:hint="eastAsia" w:ascii="宋体" w:hAnsi="宋体" w:cs="宋体"/>
                <w:color w:val="auto"/>
                <w:sz w:val="24"/>
                <w:szCs w:val="24"/>
                <w:highlight w:val="none"/>
              </w:rPr>
              <w:t xml:space="preserve"> 个。</w:t>
            </w:r>
          </w:p>
          <w:p w14:paraId="0EE28751">
            <w:pPr>
              <w:pStyle w:val="2"/>
              <w:snapToGrid w:val="0"/>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4314D819">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16BCA764">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67096502">
            <w:pPr>
              <w:pStyle w:val="2"/>
              <w:snapToGrid w:val="0"/>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3、综合评分法特别无效投标认定</w:t>
            </w:r>
          </w:p>
          <w:p w14:paraId="2664F654">
            <w:pPr>
              <w:pStyle w:val="2"/>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69727544">
            <w:pPr>
              <w:pStyle w:val="6"/>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4、关于同一品牌产品投标的相关规定</w:t>
            </w:r>
          </w:p>
          <w:p w14:paraId="5751DC27">
            <w:pPr>
              <w:pStyle w:val="6"/>
              <w:spacing w:after="0" w:line="360" w:lineRule="auto"/>
              <w:ind w:left="0"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2267EC35">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采用</w:t>
            </w:r>
            <w:r>
              <w:rPr>
                <w:color w:val="auto"/>
                <w:highlight w:val="none"/>
              </w:rPr>
              <w:fldChar w:fldCharType="begin"/>
            </w:r>
            <w:r>
              <w:rPr>
                <w:color w:val="auto"/>
                <w:highlight w:val="none"/>
              </w:rPr>
              <w:instrText xml:space="preserve"> HYPERLINK "http://lilun.caigou2003.com/recijiedu/2365668.html" \t "_blank" </w:instrText>
            </w:r>
            <w:r>
              <w:rPr>
                <w:color w:val="auto"/>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color w:val="auto"/>
                <w:highlight w:val="none"/>
              </w:rPr>
              <w:fldChar w:fldCharType="begin"/>
            </w:r>
            <w:r>
              <w:rPr>
                <w:color w:val="auto"/>
                <w:highlight w:val="none"/>
              </w:rPr>
              <w:instrText xml:space="preserve"> HYPERLINK "http://lilun.caigou2003.com/recijiedu/2539165.html" \t "_blank" </w:instrText>
            </w:r>
            <w:r>
              <w:rPr>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554DA9F3">
            <w:pPr>
              <w:spacing w:line="360" w:lineRule="auto"/>
              <w:ind w:firstLine="324"/>
              <w:rPr>
                <w:rFonts w:ascii="宋体" w:hAnsi="宋体" w:cs="宋体"/>
                <w:color w:val="auto"/>
                <w:sz w:val="24"/>
                <w:szCs w:val="24"/>
                <w:highlight w:val="none"/>
              </w:rPr>
            </w:pPr>
            <w:r>
              <w:rPr>
                <w:rFonts w:hint="eastAsia" w:ascii="宋体" w:hAnsi="宋体" w:cs="宋体"/>
                <w:color w:val="auto"/>
                <w:sz w:val="24"/>
                <w:szCs w:val="24"/>
                <w:highlight w:val="none"/>
              </w:rPr>
              <w:t>使用</w:t>
            </w:r>
            <w:r>
              <w:rPr>
                <w:color w:val="auto"/>
                <w:highlight w:val="none"/>
              </w:rPr>
              <w:fldChar w:fldCharType="begin"/>
            </w:r>
            <w:r>
              <w:rPr>
                <w:color w:val="auto"/>
                <w:highlight w:val="none"/>
              </w:rPr>
              <w:instrText xml:space="preserve"> HYPERLINK "http://lilun.caigou2003.com/recijiedu/2365667.html" \t "_blank" </w:instrText>
            </w:r>
            <w:r>
              <w:rPr>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009F8FBF">
            <w:pPr>
              <w:pStyle w:val="2"/>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5268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6F47237C">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1</w:t>
            </w:r>
            <w:r>
              <w:rPr>
                <w:rFonts w:hint="eastAsia" w:ascii="宋体" w:hAnsi="宋体" w:cs="宋体"/>
                <w:color w:val="auto"/>
                <w:sz w:val="24"/>
                <w:szCs w:val="24"/>
                <w:highlight w:val="none"/>
              </w:rPr>
              <w:t>个）：</w:t>
            </w:r>
          </w:p>
          <w:p w14:paraId="008E6C45">
            <w:pPr>
              <w:pStyle w:val="2"/>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6B51C266">
            <w:pPr>
              <w:pStyle w:val="2"/>
              <w:snapToGrid w:val="0"/>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47BCD933">
            <w:pPr>
              <w:pStyle w:val="2"/>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16D57E5E">
      <w:pPr>
        <w:pStyle w:val="2"/>
        <w:snapToGrid w:val="0"/>
        <w:spacing w:line="360" w:lineRule="auto"/>
        <w:ind w:firstLine="0"/>
        <w:rPr>
          <w:rFonts w:ascii="宋体" w:hAnsi="宋体" w:cs="宋体"/>
          <w:b/>
          <w:color w:val="auto"/>
          <w:sz w:val="24"/>
          <w:szCs w:val="24"/>
          <w:highlight w:val="none"/>
          <w:u w:val="single"/>
        </w:rPr>
      </w:pPr>
      <w:r>
        <w:rPr>
          <w:rFonts w:hint="eastAsia" w:ascii="宋体" w:hAnsi="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0120D721">
      <w:pPr>
        <w:tabs>
          <w:tab w:val="left" w:pos="-1080"/>
          <w:tab w:val="left" w:pos="180"/>
          <w:tab w:val="left" w:pos="1080"/>
        </w:tabs>
        <w:spacing w:line="360" w:lineRule="auto"/>
        <w:rPr>
          <w:rFonts w:ascii="宋体" w:hAnsi="宋体" w:cs="宋体"/>
          <w:b/>
          <w:color w:val="auto"/>
          <w:sz w:val="24"/>
          <w:szCs w:val="24"/>
          <w:highlight w:val="none"/>
        </w:rPr>
      </w:pPr>
    </w:p>
    <w:p w14:paraId="71091ACB">
      <w:pPr>
        <w:tabs>
          <w:tab w:val="left" w:pos="-1080"/>
          <w:tab w:val="left" w:pos="180"/>
          <w:tab w:val="left" w:pos="1080"/>
        </w:tabs>
        <w:spacing w:line="360" w:lineRule="auto"/>
        <w:rPr>
          <w:rFonts w:ascii="宋体" w:hAnsi="宋体" w:cs="宋体"/>
          <w:b/>
          <w:color w:val="auto"/>
          <w:sz w:val="32"/>
          <w:szCs w:val="32"/>
          <w:highlight w:val="none"/>
        </w:rPr>
      </w:pPr>
      <w:r>
        <w:rPr>
          <w:rFonts w:hint="eastAsia" w:ascii="宋体" w:hAnsi="宋体" w:cs="宋体"/>
          <w:b/>
          <w:color w:val="auto"/>
          <w:sz w:val="32"/>
          <w:szCs w:val="32"/>
          <w:highlight w:val="none"/>
        </w:rPr>
        <w:t>附件：评标标准、权重</w:t>
      </w:r>
    </w:p>
    <w:p w14:paraId="510BE6D1">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（一）技术评分(F1)：按</w:t>
      </w:r>
      <w:r>
        <w:rPr>
          <w:rFonts w:hint="eastAsia" w:ascii="宋体" w:hAnsi="宋体" w:cs="宋体"/>
          <w:color w:val="auto"/>
          <w:sz w:val="24"/>
          <w:szCs w:val="24"/>
          <w:highlight w:val="none"/>
          <w:u w:val="single"/>
        </w:rPr>
        <w:t>35</w:t>
      </w:r>
      <w:r>
        <w:rPr>
          <w:rFonts w:hint="eastAsia" w:ascii="宋体" w:hAnsi="宋体" w:cs="宋体"/>
          <w:color w:val="auto"/>
          <w:sz w:val="24"/>
          <w:szCs w:val="24"/>
          <w:highlight w:val="none"/>
        </w:rPr>
        <w:t>分评分法，技术评分考虑下列因素：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649DCDB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843D301">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570DFC64">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2DA2A28A">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693DD0ED">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35CBBC9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04BA09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vAlign w:val="center"/>
          </w:tcPr>
          <w:p w14:paraId="5E2DE0E9">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w:t>
            </w:r>
            <w:r>
              <w:rPr>
                <w:rFonts w:hint="eastAsia" w:ascii="宋体" w:hAnsi="宋体" w:cs="宋体"/>
                <w:color w:val="auto"/>
                <w:kern w:val="0"/>
                <w:sz w:val="24"/>
                <w:szCs w:val="24"/>
                <w:highlight w:val="none"/>
              </w:rPr>
              <w:t>投标设备中品目号</w:t>
            </w:r>
            <w:r>
              <w:rPr>
                <w:rFonts w:ascii="宋体" w:hAnsi="宋体" w:cs="宋体"/>
                <w:color w:val="auto"/>
                <w:kern w:val="0"/>
                <w:sz w:val="24"/>
                <w:szCs w:val="24"/>
                <w:highlight w:val="none"/>
              </w:rPr>
              <w:t>1-1的打印速度（标准模式）进行评价，标准模式下，黑色打印速度数值与彩色打印速度数值相加，打印速度相加≥</w:t>
            </w:r>
            <w:r>
              <w:rPr>
                <w:rStyle w:val="18"/>
                <w:rFonts w:hint="default"/>
                <w:color w:val="auto"/>
                <w:sz w:val="24"/>
                <w:szCs w:val="24"/>
                <w:highlight w:val="none"/>
              </w:rPr>
              <w:t>14IPM</w:t>
            </w:r>
            <w:r>
              <w:rPr>
                <w:rStyle w:val="19"/>
                <w:rFonts w:hint="default"/>
                <w:color w:val="auto"/>
                <w:sz w:val="24"/>
                <w:szCs w:val="24"/>
                <w:highlight w:val="none"/>
              </w:rPr>
              <w:t>的得3分，13IPM≤打印速度相加＜14IPM的得2分，其余不得分。【投标人需提供加盖投标人公章（若投标人为联合体投标的，联合体中的其中一方盖章即可）的产品彩页复印件。】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2F7217BD">
            <w:pPr>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6BC21AB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45A71E3">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vAlign w:val="center"/>
          </w:tcPr>
          <w:p w14:paraId="1A1E1AF6">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-2的打印速度（标准模式）进行评价，标准模式下，黑色打印速度数值与彩色打印速度数值相加，打印速度相加≥20IPM的得3分，16IPM≤打印速度相加＜20IPM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7B57ADA9">
            <w:pPr>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1B6B944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C6290A3">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vAlign w:val="center"/>
          </w:tcPr>
          <w:p w14:paraId="4438B80C">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-3的打印速度（标准模式）进行评价，标准模式下，黑色打印速度数值与彩色打印速度数值相加，打印速度相加≥19IPM的得3分，16IPM≤打印速度相加＜19IPM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1654629F">
            <w:pPr>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377FA3F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4068AA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vAlign w:val="center"/>
          </w:tcPr>
          <w:p w14:paraId="2FF205AA">
            <w:pPr>
              <w:tabs>
                <w:tab w:val="left" w:pos="-1080"/>
                <w:tab w:val="left" w:pos="180"/>
                <w:tab w:val="left" w:pos="108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1-4的打印速度（标准模式）进行评价，标准模式下，黑色打印速度数值与彩色打印速度数值相加，打印速度相加≥14IPM的得2分，</w:t>
            </w:r>
            <w:r>
              <w:rPr>
                <w:rFonts w:ascii="宋体" w:hAnsi="宋体" w:cs="宋体"/>
                <w:color w:val="auto"/>
                <w:kern w:val="0"/>
                <w:sz w:val="24"/>
                <w:szCs w:val="24"/>
                <w:highlight w:val="none"/>
              </w:rPr>
              <w:t>12</w:t>
            </w:r>
            <w:r>
              <w:rPr>
                <w:rFonts w:ascii="宋体" w:hAnsi="宋体" w:cs="宋体"/>
                <w:color w:val="auto"/>
                <w:kern w:val="0"/>
                <w:sz w:val="24"/>
                <w:szCs w:val="24"/>
                <w:highlight w:val="none"/>
              </w:rPr>
              <w:t>IPM＜打印速度相加＜14IPM的得1分，其余不得分。【投标人需提供加盖投标人公章（若投标人为联合体投标的，联合体中的其中一方盖章即可）的产品彩页复印件。】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5ED6E498">
            <w:pPr>
              <w:tabs>
                <w:tab w:val="left" w:pos="-1080"/>
                <w:tab w:val="left" w:pos="180"/>
                <w:tab w:val="left" w:pos="108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5EBEECA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F87BE2A">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vAlign w:val="center"/>
          </w:tcPr>
          <w:p w14:paraId="5C8353FF">
            <w:pPr>
              <w:tabs>
                <w:tab w:val="left" w:pos="720"/>
              </w:tabs>
              <w:spacing w:line="360" w:lineRule="auto"/>
              <w:ind w:right="18"/>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-5的打印速度（标准模式）进行评价，标准模式下，黑色打印速度数值与彩色打印速度数值相加，打印速度相加≥35IPM的得3分，30IPM＜打印速度相加＜35IPM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0559D3EE">
            <w:pPr>
              <w:tabs>
                <w:tab w:val="left" w:pos="720"/>
              </w:tabs>
              <w:spacing w:line="360" w:lineRule="auto"/>
              <w:ind w:right="18"/>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59036B7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5116763">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1-6</w:t>
            </w:r>
          </w:p>
        </w:tc>
        <w:tc>
          <w:tcPr>
            <w:tcW w:w="6838" w:type="dxa"/>
            <w:tcBorders>
              <w:top w:val="single" w:color="auto" w:sz="4" w:space="0"/>
              <w:left w:val="single" w:color="auto" w:sz="4" w:space="0"/>
              <w:bottom w:val="single" w:color="auto" w:sz="4" w:space="0"/>
              <w:right w:val="single" w:color="auto" w:sz="4" w:space="0"/>
            </w:tcBorders>
            <w:vAlign w:val="center"/>
          </w:tcPr>
          <w:p w14:paraId="2E71CBE3">
            <w:pPr>
              <w:tabs>
                <w:tab w:val="left" w:pos="720"/>
              </w:tabs>
              <w:spacing w:line="360" w:lineRule="auto"/>
              <w:ind w:right="18"/>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-1随机配套的单套耗材打印量进行评价，单套耗材黑色+彩色打印量≥8000张的得2分，4000张≤单套耗材黑色+彩色打印量＜8000张的得1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41096277">
            <w:pPr>
              <w:tabs>
                <w:tab w:val="left" w:pos="720"/>
              </w:tabs>
              <w:spacing w:line="360" w:lineRule="auto"/>
              <w:ind w:right="18"/>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0E9AA22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E23C85C">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6838" w:type="dxa"/>
            <w:tcBorders>
              <w:top w:val="single" w:color="auto" w:sz="4" w:space="0"/>
              <w:left w:val="single" w:color="auto" w:sz="4" w:space="0"/>
              <w:bottom w:val="single" w:color="auto" w:sz="4" w:space="0"/>
              <w:right w:val="single" w:color="auto" w:sz="4" w:space="0"/>
            </w:tcBorders>
            <w:vAlign w:val="center"/>
          </w:tcPr>
          <w:p w14:paraId="404556DB">
            <w:pPr>
              <w:tabs>
                <w:tab w:val="left" w:pos="720"/>
              </w:tabs>
              <w:spacing w:line="360" w:lineRule="auto"/>
              <w:ind w:right="18"/>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1-2随机配套的单套耗材打印量进行评</w:t>
            </w:r>
            <w:r>
              <w:rPr>
                <w:rFonts w:hint="eastAsia" w:ascii="宋体" w:hAnsi="宋体" w:cs="宋体"/>
                <w:color w:val="auto"/>
                <w:kern w:val="0"/>
                <w:sz w:val="24"/>
                <w:szCs w:val="24"/>
                <w:highlight w:val="none"/>
              </w:rPr>
              <w:t>价，单套耗材黑色</w:t>
            </w:r>
            <w:r>
              <w:rPr>
                <w:rFonts w:ascii="宋体" w:hAnsi="宋体" w:cs="宋体"/>
                <w:color w:val="auto"/>
                <w:kern w:val="0"/>
                <w:sz w:val="24"/>
                <w:szCs w:val="24"/>
                <w:highlight w:val="none"/>
              </w:rPr>
              <w:t>+彩色打印量≥13000张的得2分，12000张＜单套耗材黑色+彩色打印量＜13000张的得1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7472943C">
            <w:pPr>
              <w:tabs>
                <w:tab w:val="left" w:pos="720"/>
              </w:tabs>
              <w:spacing w:line="360" w:lineRule="auto"/>
              <w:ind w:right="18"/>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38C8B4C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CC73930">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1-8</w:t>
            </w:r>
          </w:p>
        </w:tc>
        <w:tc>
          <w:tcPr>
            <w:tcW w:w="6838" w:type="dxa"/>
            <w:tcBorders>
              <w:top w:val="single" w:color="auto" w:sz="4" w:space="0"/>
              <w:left w:val="single" w:color="auto" w:sz="4" w:space="0"/>
              <w:bottom w:val="single" w:color="auto" w:sz="4" w:space="0"/>
              <w:right w:val="single" w:color="auto" w:sz="4" w:space="0"/>
            </w:tcBorders>
            <w:vAlign w:val="center"/>
          </w:tcPr>
          <w:p w14:paraId="024EA4E8">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-3随机配套的单套耗材打印量进行评价，单套耗材黑色+彩色打印量≥2000张的得3分，600张≤单套耗材黑色+彩色打印量＜2000张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62CF9B54">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4A7E9D4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CFDD657">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1-9</w:t>
            </w:r>
          </w:p>
        </w:tc>
        <w:tc>
          <w:tcPr>
            <w:tcW w:w="6838" w:type="dxa"/>
            <w:tcBorders>
              <w:top w:val="single" w:color="auto" w:sz="4" w:space="0"/>
              <w:left w:val="single" w:color="auto" w:sz="4" w:space="0"/>
              <w:bottom w:val="single" w:color="auto" w:sz="4" w:space="0"/>
              <w:right w:val="single" w:color="auto" w:sz="4" w:space="0"/>
            </w:tcBorders>
            <w:vAlign w:val="center"/>
          </w:tcPr>
          <w:p w14:paraId="47A04CFE">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-4随机配套的单套耗材打印量进行评价，单套耗材黑色+彩色打印量≥300张的得3分，200张≤单套耗材黑色+彩色打印量＜300张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5FEF3253">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0253841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3AB57AF">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1-10</w:t>
            </w:r>
          </w:p>
        </w:tc>
        <w:tc>
          <w:tcPr>
            <w:tcW w:w="6838" w:type="dxa"/>
            <w:tcBorders>
              <w:top w:val="single" w:color="auto" w:sz="4" w:space="0"/>
              <w:left w:val="single" w:color="auto" w:sz="4" w:space="0"/>
              <w:bottom w:val="single" w:color="auto" w:sz="4" w:space="0"/>
              <w:right w:val="single" w:color="auto" w:sz="4" w:space="0"/>
            </w:tcBorders>
            <w:vAlign w:val="center"/>
          </w:tcPr>
          <w:p w14:paraId="7423335F">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-5随机配套的单套耗材打印量进行评价，单套耗材黑色+彩色打印量≥1500张的得3分，1000张≤单套耗材黑色+彩色打印量＜1500张的得2分，其余不得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5806604F">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726B39C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74917B2">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1-11</w:t>
            </w:r>
          </w:p>
        </w:tc>
        <w:tc>
          <w:tcPr>
            <w:tcW w:w="6838" w:type="dxa"/>
            <w:tcBorders>
              <w:top w:val="single" w:color="auto" w:sz="4" w:space="0"/>
              <w:left w:val="single" w:color="auto" w:sz="4" w:space="0"/>
              <w:bottom w:val="single" w:color="auto" w:sz="4" w:space="0"/>
              <w:right w:val="single" w:color="auto" w:sz="4" w:space="0"/>
            </w:tcBorders>
            <w:vAlign w:val="center"/>
          </w:tcPr>
          <w:p w14:paraId="1037C303">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1-1</w:t>
            </w:r>
            <w:r>
              <w:rPr>
                <w:rFonts w:hint="eastAsia" w:ascii="宋体" w:hAnsi="宋体" w:cs="宋体"/>
                <w:color w:val="auto"/>
                <w:kern w:val="0"/>
                <w:sz w:val="24"/>
                <w:szCs w:val="24"/>
                <w:highlight w:val="none"/>
              </w:rPr>
              <w:t>是否具备自动双面打印功能进行评价，具备者得</w:t>
            </w:r>
            <w:r>
              <w:rPr>
                <w:rFonts w:ascii="宋体" w:hAnsi="宋体" w:cs="宋体"/>
                <w:color w:val="auto"/>
                <w:kern w:val="0"/>
                <w:sz w:val="24"/>
                <w:szCs w:val="24"/>
                <w:highlight w:val="none"/>
              </w:rPr>
              <w:t>2分，不具备者得0分。【投标人需提供加盖投标人公章（若投标人为联合体投标的，联合体中的其中一方盖章即可）的产品彩页复印件。】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0A45B73E">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08DE543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197131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1-12</w:t>
            </w:r>
          </w:p>
        </w:tc>
        <w:tc>
          <w:tcPr>
            <w:tcW w:w="6838" w:type="dxa"/>
            <w:tcBorders>
              <w:top w:val="single" w:color="auto" w:sz="4" w:space="0"/>
              <w:left w:val="single" w:color="auto" w:sz="4" w:space="0"/>
              <w:bottom w:val="single" w:color="auto" w:sz="4" w:space="0"/>
              <w:right w:val="single" w:color="auto" w:sz="4" w:space="0"/>
            </w:tcBorders>
            <w:vAlign w:val="center"/>
          </w:tcPr>
          <w:p w14:paraId="1B51077E">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1-2</w:t>
            </w:r>
            <w:r>
              <w:rPr>
                <w:rFonts w:hint="eastAsia" w:ascii="宋体" w:hAnsi="宋体" w:cs="宋体"/>
                <w:color w:val="auto"/>
                <w:kern w:val="0"/>
                <w:sz w:val="24"/>
                <w:szCs w:val="24"/>
                <w:highlight w:val="none"/>
              </w:rPr>
              <w:t>是否具备自动双面打印功能进行评价，具备者得</w:t>
            </w:r>
            <w:r>
              <w:rPr>
                <w:rFonts w:ascii="宋体" w:hAnsi="宋体" w:cs="宋体"/>
                <w:color w:val="auto"/>
                <w:kern w:val="0"/>
                <w:sz w:val="24"/>
                <w:szCs w:val="24"/>
                <w:highlight w:val="none"/>
              </w:rPr>
              <w:t>2分，不具备者得0分。【投标人需提供加盖投标人公章（若投标人为联合体投标的，联合体中的其中一方盖章即可）的产品彩页复印件。】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52CB15F7">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0D9CCEE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8FA3A2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1-13</w:t>
            </w:r>
          </w:p>
        </w:tc>
        <w:tc>
          <w:tcPr>
            <w:tcW w:w="6838" w:type="dxa"/>
            <w:tcBorders>
              <w:top w:val="single" w:color="auto" w:sz="4" w:space="0"/>
              <w:left w:val="single" w:color="auto" w:sz="4" w:space="0"/>
              <w:bottom w:val="single" w:color="auto" w:sz="4" w:space="0"/>
              <w:right w:val="single" w:color="auto" w:sz="4" w:space="0"/>
            </w:tcBorders>
            <w:vAlign w:val="center"/>
          </w:tcPr>
          <w:p w14:paraId="10A43DDD">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1-4</w:t>
            </w:r>
            <w:r>
              <w:rPr>
                <w:rFonts w:hint="eastAsia" w:ascii="宋体" w:hAnsi="宋体" w:cs="宋体"/>
                <w:color w:val="auto"/>
                <w:kern w:val="0"/>
                <w:sz w:val="24"/>
                <w:szCs w:val="24"/>
                <w:highlight w:val="none"/>
              </w:rPr>
              <w:t>是否支持</w:t>
            </w:r>
            <w:r>
              <w:rPr>
                <w:rFonts w:ascii="宋体" w:hAnsi="宋体" w:cs="宋体"/>
                <w:color w:val="auto"/>
                <w:kern w:val="0"/>
                <w:sz w:val="24"/>
                <w:szCs w:val="24"/>
                <w:highlight w:val="none"/>
              </w:rPr>
              <w:t>USB供电功能进行评价，具备者得2分，不具备者得0分。【投标人需提供加盖投标人公章（若投标人为联合体投标的，联合体中的其中一方盖章即可）</w:t>
            </w:r>
            <w:r>
              <w:rPr>
                <w:rFonts w:hint="eastAsia" w:ascii="宋体" w:hAnsi="宋体" w:cs="宋体"/>
                <w:color w:val="auto"/>
                <w:kern w:val="0"/>
                <w:sz w:val="24"/>
                <w:szCs w:val="24"/>
                <w:highlight w:val="none"/>
              </w:rPr>
              <w:t>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716B6CF8">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r w14:paraId="72DDE72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95C6520">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1-14</w:t>
            </w:r>
          </w:p>
        </w:tc>
        <w:tc>
          <w:tcPr>
            <w:tcW w:w="6838" w:type="dxa"/>
            <w:tcBorders>
              <w:top w:val="single" w:color="auto" w:sz="4" w:space="0"/>
              <w:left w:val="single" w:color="auto" w:sz="4" w:space="0"/>
              <w:bottom w:val="single" w:color="auto" w:sz="4" w:space="0"/>
              <w:right w:val="single" w:color="auto" w:sz="4" w:space="0"/>
            </w:tcBorders>
            <w:vAlign w:val="center"/>
          </w:tcPr>
          <w:p w14:paraId="3A7527BF">
            <w:pPr>
              <w:tabs>
                <w:tab w:val="left" w:pos="-1080"/>
                <w:tab w:val="left" w:pos="180"/>
                <w:tab w:val="left" w:pos="1080"/>
                <w:tab w:val="left" w:pos="237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根据投标设备中品目号</w:t>
            </w:r>
            <w:r>
              <w:rPr>
                <w:rFonts w:ascii="宋体" w:hAnsi="宋体" w:cs="宋体"/>
                <w:color w:val="auto"/>
                <w:kern w:val="0"/>
                <w:sz w:val="24"/>
                <w:szCs w:val="24"/>
                <w:highlight w:val="none"/>
              </w:rPr>
              <w:t>1-5</w:t>
            </w:r>
            <w:r>
              <w:rPr>
                <w:rFonts w:hint="eastAsia" w:ascii="宋体" w:hAnsi="宋体" w:cs="宋体"/>
                <w:color w:val="auto"/>
                <w:kern w:val="0"/>
                <w:sz w:val="24"/>
                <w:szCs w:val="24"/>
                <w:highlight w:val="none"/>
              </w:rPr>
              <w:t>是否具备自动双面打印功能进行评价，具备者得</w:t>
            </w:r>
            <w:r>
              <w:rPr>
                <w:rFonts w:ascii="宋体" w:hAnsi="宋体" w:cs="宋体"/>
                <w:color w:val="auto"/>
                <w:kern w:val="0"/>
                <w:sz w:val="24"/>
                <w:szCs w:val="24"/>
                <w:highlight w:val="none"/>
              </w:rPr>
              <w:t>2分，不具备者得0分。【投标人需提供加盖投标人公章（若投标人为联合体投标的，联合体中的其中一方盖章即可）的产品彩页复印件。】</w:t>
            </w:r>
          </w:p>
        </w:tc>
        <w:tc>
          <w:tcPr>
            <w:tcW w:w="898" w:type="dxa"/>
            <w:tcBorders>
              <w:top w:val="single" w:color="auto" w:sz="4" w:space="0"/>
              <w:left w:val="single" w:color="auto" w:sz="4" w:space="0"/>
              <w:bottom w:val="single" w:color="auto" w:sz="4" w:space="0"/>
              <w:right w:val="single" w:color="auto" w:sz="4" w:space="0"/>
            </w:tcBorders>
            <w:vAlign w:val="center"/>
          </w:tcPr>
          <w:p w14:paraId="0FA30AE3">
            <w:pPr>
              <w:tabs>
                <w:tab w:val="left" w:pos="-1080"/>
                <w:tab w:val="left" w:pos="180"/>
                <w:tab w:val="left" w:pos="1080"/>
                <w:tab w:val="left" w:pos="237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2</w:t>
            </w:r>
          </w:p>
        </w:tc>
      </w:tr>
    </w:tbl>
    <w:p w14:paraId="20D5E511">
      <w:pPr>
        <w:tabs>
          <w:tab w:val="left" w:pos="-1080"/>
          <w:tab w:val="left" w:pos="180"/>
          <w:tab w:val="left" w:pos="1080"/>
        </w:tabs>
        <w:spacing w:line="360" w:lineRule="auto"/>
        <w:rPr>
          <w:rFonts w:ascii="宋体" w:hAnsi="宋体" w:cs="宋体"/>
          <w:color w:val="auto"/>
          <w:sz w:val="24"/>
          <w:szCs w:val="24"/>
          <w:highlight w:val="none"/>
        </w:rPr>
      </w:pPr>
    </w:p>
    <w:p w14:paraId="5D2CDA1C">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（二）商务评分(F2)：按15分评分法，商务评分考虑下列因素：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750A76EB">
        <w:tc>
          <w:tcPr>
            <w:tcW w:w="883" w:type="dxa"/>
            <w:tcBorders>
              <w:top w:val="single" w:color="auto" w:sz="4" w:space="0"/>
              <w:left w:val="single" w:color="auto" w:sz="4" w:space="0"/>
              <w:bottom w:val="single" w:color="auto" w:sz="4" w:space="0"/>
              <w:right w:val="single" w:color="auto" w:sz="4" w:space="0"/>
            </w:tcBorders>
            <w:vAlign w:val="center"/>
          </w:tcPr>
          <w:p w14:paraId="090ABE2B">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4532BF01">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70202E21">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2B5C562A">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5005243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E76FF74">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tcPr>
          <w:p w14:paraId="7FEE1147">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根据投标人是否为投标的品目号</w:t>
            </w:r>
            <w:r>
              <w:rPr>
                <w:rFonts w:ascii="宋体" w:hAnsi="宋体" w:cs="宋体"/>
                <w:color w:val="auto"/>
                <w:kern w:val="0"/>
                <w:sz w:val="24"/>
                <w:szCs w:val="24"/>
                <w:highlight w:val="none"/>
              </w:rPr>
              <w:t>1-1至1-5全部产品设备的制造商、制造商的关联企业或联合体进行评价：投标人为投标设备的制造商或制造商的关联企业或联合体投标的得3分【备注：联合体投标的，联合体一方必须是所投设备的制造商或制造商的关联企业。凡属制造商的关联企业，其关联关系应符合《企业会计准则第36号—关联方披露（2006）》（财会[2006]3号）中“关联方关系”的要求，投标人应在投标文件中按后附格式提供《关联企业证明》。】，投标人为代理商或经销商的得2分，其它得0分。</w:t>
            </w:r>
          </w:p>
        </w:tc>
        <w:tc>
          <w:tcPr>
            <w:tcW w:w="898" w:type="dxa"/>
            <w:tcBorders>
              <w:top w:val="single" w:color="auto" w:sz="4" w:space="0"/>
              <w:left w:val="single" w:color="auto" w:sz="4" w:space="0"/>
              <w:bottom w:val="single" w:color="auto" w:sz="4" w:space="0"/>
              <w:right w:val="single" w:color="auto" w:sz="4" w:space="0"/>
            </w:tcBorders>
            <w:vAlign w:val="center"/>
          </w:tcPr>
          <w:p w14:paraId="6359B3C1">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507746D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04ED382">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vAlign w:val="center"/>
          </w:tcPr>
          <w:p w14:paraId="3C6743A4">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投标人承诺中标后在厦门提供售后服务网点的得</w:t>
            </w:r>
            <w:r>
              <w:rPr>
                <w:rFonts w:ascii="宋体" w:hAnsi="宋体" w:cs="宋体"/>
                <w:color w:val="auto"/>
                <w:kern w:val="0"/>
                <w:sz w:val="24"/>
                <w:szCs w:val="24"/>
                <w:highlight w:val="none"/>
              </w:rPr>
              <w:t>3分，其余情况得0分。投标人需提供</w:t>
            </w:r>
            <w:r>
              <w:rPr>
                <w:rFonts w:hint="eastAsia" w:ascii="宋体" w:hAnsi="宋体" w:cs="宋体"/>
                <w:color w:val="auto"/>
                <w:kern w:val="0"/>
                <w:sz w:val="24"/>
                <w:szCs w:val="24"/>
                <w:highlight w:val="none"/>
              </w:rPr>
              <w:t>书面承诺函并加盖投标人公章，否则不得分。若投标人为联合体投标的，联合体中的其中一方盖章即可。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vAlign w:val="center"/>
          </w:tcPr>
          <w:p w14:paraId="3AD4C3F1">
            <w:pPr>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0DCC6DE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A7E3523">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vAlign w:val="center"/>
          </w:tcPr>
          <w:p w14:paraId="514CFBC5">
            <w:pPr>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根据投标人对设备故障修复响应速度并能够有效解决采购单位使用需求的进行评分：能够在</w:t>
            </w:r>
            <w:r>
              <w:rPr>
                <w:rFonts w:ascii="宋体" w:hAnsi="宋体" w:cs="宋体"/>
                <w:color w:val="auto"/>
                <w:kern w:val="0"/>
                <w:sz w:val="24"/>
                <w:szCs w:val="24"/>
                <w:highlight w:val="none"/>
              </w:rPr>
              <w:t>15分钟内响应、1小时内到达现场、8小时内修复，未能在8小时内修复的，予以更换或提供代用设备的得3分；能够在30分钟内响应、2小时内到达现场、10小时内修复，未能在10小时内修复的，予以更换或提供代用设备的得2分，能够在1小时内响应、3小时内到达现场、12小时内修复，未能在12小时内修复的，予以更换或提供代用设备的得1分，投标人需提供单独书面承诺函并加盖投标人公章，</w:t>
            </w:r>
            <w:r>
              <w:rPr>
                <w:rFonts w:hint="eastAsia" w:ascii="宋体" w:hAnsi="宋体" w:cs="宋体"/>
                <w:color w:val="auto"/>
                <w:kern w:val="0"/>
                <w:sz w:val="24"/>
                <w:szCs w:val="24"/>
                <w:highlight w:val="none"/>
              </w:rPr>
              <w:t>其它不得分。</w:t>
            </w:r>
          </w:p>
        </w:tc>
        <w:tc>
          <w:tcPr>
            <w:tcW w:w="898" w:type="dxa"/>
            <w:tcBorders>
              <w:top w:val="single" w:color="auto" w:sz="4" w:space="0"/>
              <w:left w:val="single" w:color="auto" w:sz="4" w:space="0"/>
              <w:bottom w:val="single" w:color="auto" w:sz="4" w:space="0"/>
              <w:right w:val="single" w:color="auto" w:sz="4" w:space="0"/>
            </w:tcBorders>
            <w:vAlign w:val="center"/>
          </w:tcPr>
          <w:p w14:paraId="58439D1A">
            <w:pPr>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501C5E9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F208870">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vAlign w:val="center"/>
          </w:tcPr>
          <w:p w14:paraId="2CA1622C">
            <w:pPr>
              <w:tabs>
                <w:tab w:val="left" w:pos="-1080"/>
                <w:tab w:val="left" w:pos="180"/>
                <w:tab w:val="left" w:pos="1080"/>
              </w:tabs>
              <w:spacing w:line="360" w:lineRule="auto"/>
              <w:rPr>
                <w:rFonts w:ascii="宋体" w:hAnsi="宋体" w:cs="宋体"/>
                <w:bCs/>
                <w:color w:val="auto"/>
                <w:sz w:val="24"/>
                <w:szCs w:val="24"/>
                <w:highlight w:val="none"/>
              </w:rPr>
            </w:pPr>
            <w:r>
              <w:rPr>
                <w:rFonts w:hint="eastAsia" w:ascii="宋体" w:hAnsi="宋体" w:cs="宋体"/>
                <w:color w:val="auto"/>
                <w:kern w:val="0"/>
                <w:sz w:val="24"/>
                <w:szCs w:val="24"/>
                <w:highlight w:val="none"/>
              </w:rPr>
              <w:t>根据投标人承诺中标后是否可以提供</w:t>
            </w:r>
            <w:r>
              <w:rPr>
                <w:rFonts w:ascii="宋体" w:hAnsi="宋体" w:cs="宋体"/>
                <w:color w:val="auto"/>
                <w:kern w:val="0"/>
                <w:sz w:val="24"/>
                <w:szCs w:val="24"/>
                <w:highlight w:val="none"/>
              </w:rPr>
              <w:t>3次《加急定货单》额度且投标人应在接到采购单位的《加急定货单》后8个工作日内将货物直送最终用户或采购单位仓库进行评价，投标人提供</w:t>
            </w:r>
            <w:r>
              <w:rPr>
                <w:rFonts w:hint="eastAsia" w:ascii="宋体" w:hAnsi="宋体" w:cs="宋体"/>
                <w:color w:val="auto"/>
                <w:kern w:val="0"/>
                <w:sz w:val="24"/>
                <w:szCs w:val="24"/>
                <w:highlight w:val="none"/>
              </w:rPr>
              <w:t>书面承诺函并加盖投标人公章的得</w:t>
            </w:r>
            <w:r>
              <w:rPr>
                <w:rFonts w:ascii="宋体" w:hAnsi="宋体" w:cs="宋体"/>
                <w:color w:val="auto"/>
                <w:kern w:val="0"/>
                <w:sz w:val="24"/>
                <w:szCs w:val="24"/>
                <w:highlight w:val="none"/>
              </w:rPr>
              <w:t>3分，否则不得分。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1DAD1973">
            <w:pPr>
              <w:tabs>
                <w:tab w:val="left" w:pos="-1080"/>
                <w:tab w:val="left" w:pos="180"/>
                <w:tab w:val="left" w:pos="1080"/>
              </w:tabs>
              <w:spacing w:line="360" w:lineRule="auto"/>
              <w:jc w:val="center"/>
              <w:rPr>
                <w:rFonts w:ascii="宋体" w:hAnsi="宋体" w:cs="宋体"/>
                <w:bCs/>
                <w:color w:val="auto"/>
                <w:sz w:val="24"/>
                <w:szCs w:val="24"/>
                <w:highlight w:val="none"/>
              </w:rPr>
            </w:pPr>
            <w:r>
              <w:rPr>
                <w:rFonts w:ascii="宋体" w:hAnsi="宋体" w:cs="宋体"/>
                <w:color w:val="auto"/>
                <w:kern w:val="0"/>
                <w:sz w:val="24"/>
                <w:szCs w:val="24"/>
                <w:highlight w:val="none"/>
              </w:rPr>
              <w:t>3</w:t>
            </w:r>
          </w:p>
        </w:tc>
      </w:tr>
      <w:tr w14:paraId="732B7AA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F43F164">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vAlign w:val="center"/>
          </w:tcPr>
          <w:p w14:paraId="3E029915">
            <w:pPr>
              <w:tabs>
                <w:tab w:val="left" w:pos="720"/>
              </w:tabs>
              <w:spacing w:line="360" w:lineRule="auto"/>
              <w:ind w:right="18"/>
              <w:rPr>
                <w:rFonts w:ascii="宋体" w:hAnsi="宋体" w:cs="宋体"/>
                <w:bCs/>
                <w:color w:val="auto"/>
                <w:sz w:val="24"/>
                <w:szCs w:val="24"/>
                <w:highlight w:val="none"/>
              </w:rPr>
            </w:pPr>
            <w:r>
              <w:rPr>
                <w:rFonts w:hint="eastAsia" w:ascii="宋体" w:hAnsi="宋体" w:cs="宋体"/>
                <w:color w:val="auto"/>
                <w:kern w:val="0"/>
                <w:sz w:val="24"/>
                <w:szCs w:val="24"/>
                <w:highlight w:val="none"/>
              </w:rPr>
              <w:t>投标人提供自</w:t>
            </w:r>
            <w:r>
              <w:rPr>
                <w:rFonts w:ascii="宋体" w:hAnsi="宋体" w:cs="宋体"/>
                <w:color w:val="auto"/>
                <w:kern w:val="0"/>
                <w:sz w:val="24"/>
                <w:szCs w:val="24"/>
                <w:highlight w:val="none"/>
              </w:rPr>
              <w:t>2020年1月1日至开标当天获得喷墨打印机项目采购人（最终用户）盖章的服务满意度调查资料（以满意度调查资料盖章落款时间为准），</w:t>
            </w:r>
            <w:r>
              <w:rPr>
                <w:rFonts w:hint="eastAsia" w:ascii="宋体" w:hAnsi="宋体" w:cs="宋体"/>
                <w:color w:val="auto"/>
                <w:kern w:val="0"/>
                <w:sz w:val="24"/>
                <w:szCs w:val="24"/>
                <w:highlight w:val="none"/>
              </w:rPr>
              <w:t>且满意度调查结果为满意的，每提供</w:t>
            </w:r>
            <w:r>
              <w:rPr>
                <w:rFonts w:ascii="宋体" w:hAnsi="宋体" w:cs="宋体"/>
                <w:color w:val="auto"/>
                <w:kern w:val="0"/>
                <w:sz w:val="24"/>
                <w:szCs w:val="24"/>
                <w:highlight w:val="none"/>
              </w:rPr>
              <w:t>1份得1分，最高得3分，须提供客户满意度调查复印件，否则不得分。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6BA7642E">
            <w:pPr>
              <w:tabs>
                <w:tab w:val="left" w:pos="720"/>
              </w:tabs>
              <w:spacing w:line="360" w:lineRule="auto"/>
              <w:ind w:right="18"/>
              <w:jc w:val="center"/>
              <w:rPr>
                <w:rFonts w:ascii="宋体" w:hAnsi="宋体" w:cs="宋体"/>
                <w:bCs/>
                <w:color w:val="auto"/>
                <w:sz w:val="24"/>
                <w:szCs w:val="24"/>
                <w:highlight w:val="none"/>
              </w:rPr>
            </w:pPr>
            <w:r>
              <w:rPr>
                <w:rFonts w:ascii="宋体" w:hAnsi="宋体" w:cs="宋体"/>
                <w:b/>
                <w:bCs/>
                <w:color w:val="auto"/>
                <w:kern w:val="0"/>
                <w:sz w:val="24"/>
                <w:szCs w:val="24"/>
                <w:highlight w:val="none"/>
              </w:rPr>
              <w:t>3</w:t>
            </w:r>
          </w:p>
        </w:tc>
      </w:tr>
    </w:tbl>
    <w:p w14:paraId="175DCD1F">
      <w:pPr>
        <w:tabs>
          <w:tab w:val="left" w:pos="-1080"/>
          <w:tab w:val="left" w:pos="180"/>
          <w:tab w:val="left" w:pos="1080"/>
        </w:tabs>
        <w:spacing w:line="360" w:lineRule="auto"/>
        <w:rPr>
          <w:rFonts w:ascii="宋体" w:hAnsi="宋体" w:cs="宋体"/>
          <w:color w:val="auto"/>
          <w:sz w:val="24"/>
          <w:szCs w:val="24"/>
          <w:highlight w:val="none"/>
        </w:rPr>
      </w:pPr>
    </w:p>
    <w:p w14:paraId="4EC39996">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（三）价格评分(F3)：按50分评分法，评标委员会对各有效标投标报价进行审核确定评标价，并将最低有效标的评标价设为基准价，定其价格得分为50分。按公式：价格得分＝50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372164CB">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3D4FFD5C">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w:t>
      </w:r>
      <w:r>
        <w:rPr>
          <w:rFonts w:hint="eastAsia" w:hAnsi="宋体" w:cs="宋体"/>
          <w:color w:val="auto"/>
          <w:sz w:val="24"/>
          <w:szCs w:val="24"/>
          <w:highlight w:val="none"/>
        </w:rPr>
        <w:t>20%的扣除</w:t>
      </w:r>
      <w:r>
        <w:rPr>
          <w:rFonts w:hint="eastAsia" w:hAnsi="宋体" w:cs="宋体"/>
          <w:color w:val="auto"/>
          <w:sz w:val="24"/>
          <w:szCs w:val="24"/>
          <w:highlight w:val="none"/>
        </w:rPr>
        <w:t>，扣除后的价格作为该投标人的评标价参与价格评分。</w:t>
      </w:r>
    </w:p>
    <w:p w14:paraId="160F1040">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w:t>
      </w:r>
      <w:r>
        <w:rPr>
          <w:rFonts w:hint="eastAsia" w:hAnsi="宋体" w:cs="宋体"/>
          <w:color w:val="auto"/>
          <w:sz w:val="24"/>
          <w:szCs w:val="24"/>
          <w:highlight w:val="none"/>
        </w:rPr>
        <w:t>6%的扣除</w:t>
      </w:r>
      <w:r>
        <w:rPr>
          <w:rFonts w:hint="eastAsia" w:hAnsi="宋体" w:cs="宋体"/>
          <w:color w:val="auto"/>
          <w:sz w:val="24"/>
          <w:szCs w:val="24"/>
          <w:highlight w:val="none"/>
        </w:rPr>
        <w:t>，用扣除后的价格参加评审。</w:t>
      </w:r>
    </w:p>
    <w:p w14:paraId="3FF5DA31">
      <w:pPr>
        <w:pStyle w:val="11"/>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19AAC8E9">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384A833D">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w:t>
      </w:r>
      <w:r>
        <w:rPr>
          <w:rFonts w:hint="eastAsia" w:ascii="宋体" w:hAnsi="宋体" w:cs="宋体"/>
          <w:color w:val="auto"/>
          <w:sz w:val="24"/>
          <w:szCs w:val="24"/>
          <w:highlight w:val="none"/>
        </w:rPr>
        <w:t>10%的扣除</w:t>
      </w:r>
      <w:r>
        <w:rPr>
          <w:rFonts w:hint="eastAsia" w:ascii="宋体" w:hAnsi="宋体" w:cs="宋体"/>
          <w:color w:val="auto"/>
          <w:sz w:val="24"/>
          <w:szCs w:val="24"/>
          <w:highlight w:val="none"/>
        </w:rPr>
        <w:t>，用扣除后的价格参加评审。采购标的同时包含其它非优先采购产品的，投标人须对优先采购产品和非优先采购产品进行分项报价，非优先采购产品的报价不得享受给予节能产品、环境标志产品的价格扣除优惠。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5C706862">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具体要求如下：</w:t>
      </w:r>
    </w:p>
    <w:p w14:paraId="5DE92FFB">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5BBA235E">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复印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20E5BB33">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71578BBF">
      <w:pPr>
        <w:pStyle w:val="9"/>
        <w:spacing w:before="24" w:beforeAutospacing="0" w:after="24" w:afterAutospacing="0" w:line="360" w:lineRule="auto"/>
        <w:ind w:firstLine="420"/>
        <w:rPr>
          <w:color w:val="auto"/>
          <w:kern w:val="2"/>
          <w:highlight w:val="none"/>
        </w:rPr>
      </w:pPr>
      <w:r>
        <w:rPr>
          <w:color w:val="auto"/>
          <w:kern w:val="2"/>
          <w:sz w:val="24"/>
          <w:szCs w:val="24"/>
          <w:highlight w:val="none"/>
        </w:rPr>
        <w:t>3</w:t>
      </w:r>
      <w:r>
        <w:rPr>
          <w:rFonts w:hint="eastAsia"/>
          <w:color w:val="auto"/>
          <w:kern w:val="2"/>
          <w:sz w:val="24"/>
          <w:szCs w:val="24"/>
          <w:highlight w:val="none"/>
        </w:rPr>
        <w:t>、对本国产品的支持政策</w:t>
      </w:r>
      <w:r>
        <w:rPr>
          <w:rFonts w:hint="eastAsia"/>
          <w:b w:val="0"/>
          <w:bCs w:val="0"/>
          <w:color w:val="auto"/>
          <w:kern w:val="2"/>
          <w:sz w:val="24"/>
          <w:szCs w:val="24"/>
          <w:highlight w:val="none"/>
        </w:rPr>
        <w:t>：</w:t>
      </w:r>
    </w:p>
    <w:p w14:paraId="7D8364BE">
      <w:pPr>
        <w:pStyle w:val="9"/>
        <w:spacing w:before="24" w:beforeAutospacing="0" w:after="24" w:afterAutospacing="0" w:line="360" w:lineRule="auto"/>
        <w:ind w:firstLine="402" w:firstLineChars="200"/>
        <w:rPr>
          <w:color w:val="auto"/>
          <w:highlight w:val="none"/>
        </w:rPr>
      </w:pPr>
      <w:r>
        <w:rPr>
          <w:rFonts w:hint="eastAsia" w:asciiTheme="minorEastAsia" w:hAnsiTheme="minorEastAsia" w:eastAsiaTheme="minorEastAsia" w:cstheme="minorEastAsia"/>
          <w:b/>
          <w:bCs/>
          <w:color w:val="auto"/>
          <w:kern w:val="2"/>
          <w:sz w:val="20"/>
          <w:szCs w:val="20"/>
          <w:highlight w:val="none"/>
        </w:rPr>
        <w:t>政府采购活动中既有本国产品又有非本国产品参与竞争的，依法对本国产品给予价格评审优惠，对本国产品的报价给予</w:t>
      </w:r>
      <w:r>
        <w:rPr>
          <w:rFonts w:asciiTheme="minorEastAsia" w:hAnsiTheme="minorEastAsia" w:eastAsiaTheme="minorEastAsia" w:cstheme="minorEastAsia"/>
          <w:b/>
          <w:bCs/>
          <w:color w:val="auto"/>
          <w:kern w:val="2"/>
          <w:sz w:val="20"/>
          <w:szCs w:val="20"/>
          <w:highlight w:val="none"/>
        </w:rPr>
        <w:t>20%的价格扣除，用扣除后的价格参与评审。</w:t>
      </w:r>
    </w:p>
    <w:p w14:paraId="2E1B1A33">
      <w:pPr>
        <w:pStyle w:val="9"/>
        <w:spacing w:before="24" w:beforeAutospacing="0" w:after="24" w:afterAutospacing="0" w:line="360" w:lineRule="auto"/>
        <w:ind w:firstLine="402" w:firstLineChars="200"/>
        <w:rPr>
          <w:rFonts w:asciiTheme="majorEastAsia" w:hAnsiTheme="majorEastAsia" w:eastAsiaTheme="majorEastAsia" w:cstheme="majorEastAsia"/>
          <w:color w:val="auto"/>
          <w:highlight w:val="none"/>
        </w:rPr>
      </w:pPr>
      <w:r>
        <w:rPr>
          <w:rFonts w:hint="eastAsia" w:asciiTheme="minorEastAsia" w:hAnsiTheme="minorEastAsia" w:eastAsiaTheme="minorEastAsia" w:cstheme="minorEastAsia"/>
          <w:b/>
          <w:bCs/>
          <w:color w:val="auto"/>
          <w:kern w:val="2"/>
          <w:sz w:val="20"/>
          <w:szCs w:val="20"/>
          <w:highlight w:val="none"/>
        </w:rPr>
        <w:t>当采购项目或者采购包中含有多种产品，供应商为该采购项目或者采购包提供的符合本国产品标准的产品成本之和占该供应商提供的全部产品成本之和的比例达到</w:t>
      </w:r>
      <w:r>
        <w:rPr>
          <w:rFonts w:asciiTheme="minorEastAsia" w:hAnsiTheme="minorEastAsia" w:eastAsiaTheme="minorEastAsia" w:cstheme="minorEastAsia"/>
          <w:b/>
          <w:bCs/>
          <w:color w:val="auto"/>
          <w:kern w:val="2"/>
          <w:sz w:val="20"/>
          <w:szCs w:val="20"/>
          <w:highlight w:val="none"/>
        </w:rPr>
        <w:t>80%以上时，依法对该供应商提供的全部产品给予价格评审优惠，即对该供应商提供的全部产品的总报价给予20%的价格扣除，用扣除后的价格参与评审。</w:t>
      </w:r>
    </w:p>
    <w:p w14:paraId="030DEDC8">
      <w:pPr>
        <w:spacing w:line="360" w:lineRule="auto"/>
        <w:ind w:firstLine="480" w:firstLineChars="200"/>
        <w:rPr>
          <w:rFonts w:ascii="宋体" w:hAnsi="宋体" w:cs="宋体"/>
          <w:color w:val="auto"/>
          <w:sz w:val="24"/>
          <w:highlight w:val="none"/>
        </w:rPr>
      </w:pPr>
      <w:r>
        <w:rPr>
          <w:rFonts w:hint="eastAsia" w:ascii="宋体" w:hAnsi="宋体" w:cs="宋体"/>
          <w:color w:val="auto"/>
          <w:sz w:val="24"/>
          <w:szCs w:val="24"/>
          <w:highlight w:val="none"/>
        </w:rPr>
        <w:t>未提供《关于符合本国产品标准的声明函》的不给予价格评审优惠。</w:t>
      </w:r>
    </w:p>
    <w:p w14:paraId="2D5378A3">
      <w:pPr>
        <w:spacing w:line="360" w:lineRule="auto"/>
        <w:ind w:firstLine="480" w:firstLineChars="200"/>
        <w:rPr>
          <w:rFonts w:ascii="宋体" w:hAnsi="宋体" w:cs="宋体"/>
          <w:color w:val="auto"/>
          <w:sz w:val="24"/>
          <w:highlight w:val="none"/>
        </w:rPr>
      </w:pPr>
      <w:r>
        <w:rPr>
          <w:rFonts w:hint="eastAsia" w:ascii="宋体" w:hAnsi="宋体" w:cs="宋体"/>
          <w:color w:val="auto"/>
          <w:sz w:val="24"/>
          <w:szCs w:val="24"/>
          <w:highlight w:val="none"/>
        </w:rPr>
        <w:t>4、异常低价审查</w:t>
      </w:r>
    </w:p>
    <w:p w14:paraId="4F453F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4.1政府采购评审中出现下列情形之一的，评标委员会应当启动异常低价投标审查程序：</w:t>
      </w:r>
    </w:p>
    <w:p w14:paraId="7205AEF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（1）投标报价低于全部通过符合性审投标人投标报价平均值50%的，即投标报价&lt;全部通过符合性审查投标人投标报价平均值×50%；</w:t>
      </w:r>
    </w:p>
    <w:p w14:paraId="3C1DAC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（2）投标报价低于通过符合性审查的次低报价投标人投标报价50%的，即投标报价&lt;通过符合性审查的次低报价投标人投标报价×50%；</w:t>
      </w:r>
    </w:p>
    <w:p w14:paraId="35DE7E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（3）投标报价低于采购项目最高限价45%的，即投标报价&lt;采购项目最高限价×45%；</w:t>
      </w:r>
    </w:p>
    <w:p w14:paraId="6C9660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（4）评标委员会基于专业判断，认为投标人报价过低，有可能影响产品质量或者不能诚信履约的其他情形。</w:t>
      </w:r>
    </w:p>
    <w:p w14:paraId="55B8B29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4FD34A09">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030547BF">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1B3322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异常低价投标审查的启动原因、审查意见和审查结果应当在评审报告中记录，并随供应商提供的相关书面说明及证明材料，以及评标委员会有关互联网浏览、查询历史一并归档。</w:t>
      </w:r>
    </w:p>
    <w:p w14:paraId="1CDAEE0B">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22236698">
      <w:pPr>
        <w:pStyle w:val="5"/>
        <w:spacing w:line="360" w:lineRule="auto"/>
        <w:ind w:firstLine="840"/>
        <w:rPr>
          <w:rFonts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002F562E">
      <w:pPr>
        <w:pStyle w:val="5"/>
        <w:spacing w:line="360" w:lineRule="auto"/>
        <w:ind w:firstLine="720" w:firstLineChars="300"/>
        <w:rPr>
          <w:rFonts w:hAnsi="宋体" w:cs="宋体"/>
          <w:color w:val="auto"/>
          <w:sz w:val="24"/>
          <w:szCs w:val="24"/>
          <w:highlight w:val="none"/>
        </w:rPr>
      </w:pPr>
      <w:r>
        <w:rPr>
          <w:rFonts w:hint="eastAsia" w:hAnsi="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采购单位验收合格的相关证明文件扫描件，原件备查；如未按招标文件要求提供该项业绩完整资料的，评标委员会对该项业绩将不予采信。</w:t>
      </w:r>
    </w:p>
    <w:p w14:paraId="7861DE38">
      <w:pPr>
        <w:spacing w:line="360" w:lineRule="auto"/>
        <w:ind w:firstLine="1600" w:firstLineChars="500"/>
        <w:rPr>
          <w:rFonts w:ascii="宋体" w:hAnsi="宋体" w:cs="宋体"/>
          <w:color w:val="auto"/>
          <w:sz w:val="32"/>
          <w:szCs w:val="32"/>
          <w:highlight w:val="none"/>
        </w:rPr>
      </w:pPr>
    </w:p>
    <w:p w14:paraId="4014BEF4">
      <w:pPr>
        <w:spacing w:line="360" w:lineRule="auto"/>
        <w:ind w:firstLine="1600" w:firstLineChars="500"/>
        <w:rPr>
          <w:rFonts w:ascii="宋体" w:hAnsi="宋体" w:cs="宋体"/>
          <w:color w:val="auto"/>
          <w:sz w:val="32"/>
          <w:szCs w:val="32"/>
          <w:highlight w:val="none"/>
        </w:rPr>
      </w:pPr>
    </w:p>
    <w:p w14:paraId="78DC3878">
      <w:pPr>
        <w:spacing w:line="360" w:lineRule="auto"/>
        <w:ind w:firstLine="1600" w:firstLineChars="500"/>
        <w:rPr>
          <w:rFonts w:ascii="宋体" w:hAnsi="宋体" w:cs="宋体"/>
          <w:color w:val="auto"/>
          <w:sz w:val="32"/>
          <w:szCs w:val="32"/>
          <w:highlight w:val="none"/>
        </w:rPr>
      </w:pPr>
    </w:p>
    <w:p w14:paraId="47AEAEF7">
      <w:pPr>
        <w:spacing w:line="360" w:lineRule="auto"/>
        <w:ind w:firstLine="1600" w:firstLineChars="500"/>
        <w:rPr>
          <w:rFonts w:ascii="宋体" w:hAnsi="宋体" w:cs="宋体"/>
          <w:color w:val="auto"/>
          <w:sz w:val="32"/>
          <w:szCs w:val="32"/>
          <w:highlight w:val="none"/>
        </w:rPr>
      </w:pPr>
    </w:p>
    <w:p w14:paraId="74663531">
      <w:pPr>
        <w:spacing w:line="360" w:lineRule="auto"/>
        <w:ind w:firstLine="1600" w:firstLineChars="500"/>
        <w:rPr>
          <w:rFonts w:ascii="宋体" w:hAnsi="宋体" w:cs="宋体"/>
          <w:color w:val="auto"/>
          <w:sz w:val="32"/>
          <w:szCs w:val="32"/>
          <w:highlight w:val="none"/>
        </w:rPr>
      </w:pPr>
    </w:p>
    <w:p w14:paraId="3FD7B252">
      <w:pPr>
        <w:spacing w:line="360" w:lineRule="auto"/>
        <w:ind w:firstLine="1600" w:firstLineChars="500"/>
        <w:rPr>
          <w:rFonts w:ascii="宋体" w:hAnsi="宋体" w:cs="宋体"/>
          <w:color w:val="auto"/>
          <w:sz w:val="32"/>
          <w:szCs w:val="32"/>
          <w:highlight w:val="none"/>
        </w:rPr>
      </w:pPr>
    </w:p>
    <w:p w14:paraId="3A0E4FAB">
      <w:pPr>
        <w:spacing w:line="360" w:lineRule="auto"/>
        <w:ind w:firstLine="0" w:firstLineChars="0"/>
        <w:rPr>
          <w:rFonts w:ascii="宋体" w:hAnsi="宋体" w:cs="宋体"/>
          <w:color w:val="auto"/>
          <w:sz w:val="32"/>
          <w:szCs w:val="32"/>
          <w:highlight w:val="none"/>
        </w:rPr>
      </w:pPr>
    </w:p>
    <w:p w14:paraId="2DE9BE1C">
      <w:pPr>
        <w:spacing w:line="360" w:lineRule="auto"/>
        <w:ind w:firstLine="1600" w:firstLineChars="500"/>
        <w:rPr>
          <w:rFonts w:ascii="宋体" w:hAnsi="宋体" w:cs="宋体"/>
          <w:color w:val="auto"/>
          <w:sz w:val="32"/>
          <w:szCs w:val="32"/>
          <w:highlight w:val="none"/>
        </w:rPr>
      </w:pPr>
    </w:p>
    <w:p w14:paraId="54533486">
      <w:pPr>
        <w:spacing w:line="360" w:lineRule="auto"/>
        <w:ind w:firstLine="1600" w:firstLineChars="500"/>
        <w:rPr>
          <w:rFonts w:ascii="宋体" w:hAnsi="宋体" w:cs="宋体"/>
          <w:color w:val="auto"/>
          <w:sz w:val="32"/>
          <w:szCs w:val="32"/>
          <w:highlight w:val="none"/>
        </w:rPr>
      </w:pPr>
    </w:p>
    <w:p w14:paraId="66FE32FD">
      <w:pPr>
        <w:spacing w:line="360" w:lineRule="auto"/>
        <w:ind w:firstLine="1600" w:firstLineChars="500"/>
        <w:rPr>
          <w:rFonts w:ascii="宋体" w:hAnsi="宋体" w:cs="宋体"/>
          <w:color w:val="auto"/>
          <w:sz w:val="32"/>
          <w:szCs w:val="32"/>
          <w:highlight w:val="none"/>
        </w:rPr>
      </w:pPr>
    </w:p>
    <w:p w14:paraId="69B4F131">
      <w:pPr>
        <w:spacing w:line="360" w:lineRule="auto"/>
        <w:ind w:firstLine="1600" w:firstLineChars="500"/>
        <w:rPr>
          <w:rFonts w:hint="eastAsia" w:ascii="宋体" w:hAnsi="宋体" w:cs="宋体"/>
          <w:color w:val="auto"/>
          <w:sz w:val="32"/>
          <w:szCs w:val="32"/>
          <w:highlight w:val="none"/>
        </w:rPr>
      </w:pPr>
    </w:p>
    <w:p w14:paraId="3AF9F486">
      <w:pPr>
        <w:spacing w:line="360" w:lineRule="auto"/>
        <w:ind w:firstLine="1600" w:firstLineChars="500"/>
        <w:rPr>
          <w:rFonts w:hint="eastAsia" w:ascii="宋体" w:hAnsi="宋体" w:cs="宋体"/>
          <w:color w:val="auto"/>
          <w:sz w:val="32"/>
          <w:szCs w:val="32"/>
          <w:highlight w:val="none"/>
        </w:rPr>
      </w:pPr>
    </w:p>
    <w:p w14:paraId="41252902">
      <w:pPr>
        <w:spacing w:line="360" w:lineRule="auto"/>
        <w:ind w:firstLine="1600" w:firstLineChars="500"/>
        <w:rPr>
          <w:rFonts w:hint="eastAsia" w:ascii="宋体" w:hAnsi="宋体" w:cs="宋体"/>
          <w:color w:val="auto"/>
          <w:sz w:val="32"/>
          <w:szCs w:val="32"/>
          <w:highlight w:val="none"/>
        </w:rPr>
      </w:pPr>
    </w:p>
    <w:p w14:paraId="569A23DE">
      <w:pPr>
        <w:spacing w:line="360" w:lineRule="auto"/>
        <w:ind w:firstLine="1600" w:firstLineChars="500"/>
        <w:rPr>
          <w:rFonts w:ascii="宋体" w:hAnsi="宋体" w:cs="宋体"/>
          <w:color w:val="auto"/>
          <w:sz w:val="32"/>
          <w:szCs w:val="32"/>
          <w:highlight w:val="none"/>
        </w:rPr>
      </w:pPr>
    </w:p>
    <w:p w14:paraId="0D69E169">
      <w:pPr>
        <w:spacing w:line="360" w:lineRule="auto"/>
        <w:ind w:firstLine="1600" w:firstLineChars="500"/>
        <w:rPr>
          <w:rFonts w:hint="eastAsia" w:ascii="宋体" w:hAnsi="宋体" w:cs="宋体"/>
          <w:color w:val="auto"/>
          <w:sz w:val="32"/>
          <w:szCs w:val="32"/>
          <w:highlight w:val="none"/>
        </w:rPr>
      </w:pPr>
    </w:p>
    <w:p w14:paraId="63783385">
      <w:pPr>
        <w:spacing w:line="360" w:lineRule="auto"/>
        <w:ind w:firstLine="1600" w:firstLineChars="500"/>
        <w:rPr>
          <w:rFonts w:hint="eastAsia" w:ascii="宋体" w:hAnsi="宋体" w:cs="宋体"/>
          <w:color w:val="auto"/>
          <w:sz w:val="32"/>
          <w:szCs w:val="32"/>
          <w:highlight w:val="none"/>
        </w:rPr>
      </w:pPr>
    </w:p>
    <w:p w14:paraId="243E3F76">
      <w:pPr>
        <w:spacing w:line="360" w:lineRule="auto"/>
        <w:ind w:firstLine="1600" w:firstLineChars="500"/>
        <w:rPr>
          <w:rFonts w:hint="eastAsia" w:ascii="宋体" w:hAnsi="宋体" w:cs="宋体"/>
          <w:color w:val="auto"/>
          <w:sz w:val="32"/>
          <w:szCs w:val="32"/>
          <w:highlight w:val="none"/>
        </w:rPr>
      </w:pPr>
    </w:p>
    <w:p w14:paraId="49D103FB">
      <w:pPr>
        <w:spacing w:line="360" w:lineRule="auto"/>
        <w:ind w:firstLine="1600" w:firstLineChars="500"/>
        <w:rPr>
          <w:rFonts w:hint="eastAsia" w:ascii="宋体" w:hAnsi="宋体" w:cs="宋体"/>
          <w:color w:val="auto"/>
          <w:sz w:val="32"/>
          <w:szCs w:val="32"/>
          <w:highlight w:val="none"/>
        </w:rPr>
      </w:pPr>
    </w:p>
    <w:p w14:paraId="59980A85">
      <w:pPr>
        <w:spacing w:line="360" w:lineRule="auto"/>
        <w:ind w:firstLine="1600" w:firstLineChars="500"/>
        <w:rPr>
          <w:rFonts w:hint="eastAsia" w:ascii="宋体" w:hAnsi="宋体" w:cs="宋体"/>
          <w:color w:val="auto"/>
          <w:sz w:val="32"/>
          <w:szCs w:val="32"/>
          <w:highlight w:val="none"/>
        </w:rPr>
      </w:pPr>
    </w:p>
    <w:p w14:paraId="3E956050">
      <w:pPr>
        <w:spacing w:line="360" w:lineRule="auto"/>
        <w:ind w:firstLine="1600" w:firstLineChars="500"/>
        <w:rPr>
          <w:rFonts w:hint="eastAsia" w:ascii="宋体" w:hAnsi="宋体" w:cs="宋体"/>
          <w:color w:val="auto"/>
          <w:sz w:val="32"/>
          <w:szCs w:val="32"/>
          <w:highlight w:val="none"/>
        </w:rPr>
      </w:pPr>
    </w:p>
    <w:p w14:paraId="5242A6F9">
      <w:pPr>
        <w:spacing w:line="360" w:lineRule="auto"/>
        <w:ind w:firstLine="1600" w:firstLineChars="500"/>
        <w:rPr>
          <w:rFonts w:ascii="宋体" w:hAnsi="宋体" w:cs="宋体"/>
          <w:color w:val="auto"/>
          <w:sz w:val="32"/>
          <w:szCs w:val="32"/>
          <w:highlight w:val="none"/>
        </w:rPr>
      </w:pPr>
      <w:r>
        <w:rPr>
          <w:rFonts w:hint="eastAsia" w:ascii="宋体" w:hAnsi="宋体" w:cs="宋体"/>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4A2A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7359D65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677" w:type="dxa"/>
            <w:vAlign w:val="center"/>
          </w:tcPr>
          <w:p w14:paraId="223E150C">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项目</w:t>
            </w:r>
          </w:p>
        </w:tc>
        <w:tc>
          <w:tcPr>
            <w:tcW w:w="6063" w:type="dxa"/>
            <w:vAlign w:val="center"/>
          </w:tcPr>
          <w:p w14:paraId="156A785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3ADD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vAlign w:val="center"/>
          </w:tcPr>
          <w:p w14:paraId="3D9ACB46">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1</w:t>
            </w:r>
          </w:p>
        </w:tc>
        <w:tc>
          <w:tcPr>
            <w:tcW w:w="1677" w:type="dxa"/>
            <w:vAlign w:val="center"/>
          </w:tcPr>
          <w:p w14:paraId="66E49AFB">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6063" w:type="dxa"/>
            <w:vAlign w:val="center"/>
          </w:tcPr>
          <w:p w14:paraId="1AB68380">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否</w:t>
            </w:r>
          </w:p>
        </w:tc>
      </w:tr>
      <w:tr w14:paraId="3D41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0B18E4F1">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2</w:t>
            </w:r>
          </w:p>
        </w:tc>
        <w:tc>
          <w:tcPr>
            <w:tcW w:w="1677" w:type="dxa"/>
            <w:vAlign w:val="center"/>
          </w:tcPr>
          <w:p w14:paraId="7BE09B13">
            <w:pPr>
              <w:spacing w:line="360" w:lineRule="auto"/>
              <w:jc w:val="center"/>
              <w:rPr>
                <w:rFonts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6063" w:type="dxa"/>
          </w:tcPr>
          <w:p w14:paraId="5B2D644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113E81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65B08212">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D41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00" w:type="dxa"/>
            <w:vAlign w:val="center"/>
          </w:tcPr>
          <w:p w14:paraId="767A2C60">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3</w:t>
            </w:r>
          </w:p>
        </w:tc>
        <w:tc>
          <w:tcPr>
            <w:tcW w:w="1677" w:type="dxa"/>
            <w:vAlign w:val="center"/>
          </w:tcPr>
          <w:p w14:paraId="6EB6149A">
            <w:pPr>
              <w:widowControl/>
              <w:spacing w:line="360" w:lineRule="auto"/>
              <w:ind w:left="-65" w:leftChars="-31" w:firstLine="475" w:firstLineChars="205"/>
              <w:jc w:val="left"/>
              <w:rPr>
                <w:rFonts w:ascii="宋体" w:hAnsi="宋体" w:cs="宋体"/>
                <w:b w:val="0"/>
                <w:color w:val="auto"/>
                <w:spacing w:val="-4"/>
                <w:sz w:val="24"/>
                <w:szCs w:val="24"/>
                <w:highlight w:val="none"/>
              </w:rPr>
            </w:pPr>
            <w:r>
              <w:rPr>
                <w:rFonts w:hint="eastAsia" w:ascii="宋体" w:hAnsi="宋体" w:cs="宋体"/>
                <w:b w:val="0"/>
                <w:bCs w:val="0"/>
                <w:color w:val="auto"/>
                <w:spacing w:val="-4"/>
                <w:sz w:val="24"/>
                <w:szCs w:val="24"/>
                <w:highlight w:val="none"/>
              </w:rPr>
              <w:t>优惠办法：</w:t>
            </w:r>
          </w:p>
        </w:tc>
        <w:tc>
          <w:tcPr>
            <w:tcW w:w="6063" w:type="dxa"/>
            <w:tcBorders>
              <w:bottom w:val="single" w:color="auto" w:sz="4" w:space="0"/>
            </w:tcBorders>
          </w:tcPr>
          <w:p w14:paraId="04E9016E">
            <w:pPr>
              <w:spacing w:line="360" w:lineRule="auto"/>
              <w:ind w:left="-65" w:leftChars="-31" w:firstLine="475" w:firstLineChars="205"/>
              <w:rPr>
                <w:rFonts w:ascii="宋体" w:hAnsi="宋体" w:cs="宋体"/>
                <w:b w:val="0"/>
                <w:color w:val="auto"/>
                <w:spacing w:val="-4"/>
                <w:sz w:val="24"/>
                <w:szCs w:val="24"/>
                <w:highlight w:val="none"/>
              </w:rPr>
            </w:pPr>
            <w:r>
              <w:rPr>
                <w:rFonts w:hint="eastAsia" w:ascii="宋体" w:hAnsi="宋体" w:cs="宋体"/>
                <w:b w:val="0"/>
                <w:bCs w:val="0"/>
                <w:color w:val="auto"/>
                <w:spacing w:val="-4"/>
                <w:sz w:val="24"/>
                <w:szCs w:val="24"/>
                <w:highlight w:val="none"/>
              </w:rPr>
              <w:t>投标产品为中小企业（含中型、小型、微型企业，下同）生产：</w:t>
            </w:r>
          </w:p>
          <w:p w14:paraId="57D6B3A4">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①</w:t>
            </w:r>
            <w:r>
              <w:rPr>
                <w:rFonts w:hint="eastAsia" w:ascii="宋体" w:hAnsi="宋体" w:cs="宋体"/>
                <w:b w:val="0"/>
                <w:bCs w:val="0"/>
                <w:color w:val="auto"/>
                <w:spacing w:val="-4"/>
                <w:sz w:val="24"/>
                <w:szCs w:val="24"/>
                <w:highlight w:val="none"/>
              </w:rPr>
              <w:t>投</w:t>
            </w:r>
            <w:r>
              <w:rPr>
                <w:rFonts w:hint="eastAsia" w:ascii="宋体" w:hAnsi="宋体" w:cs="宋体"/>
                <w:color w:val="auto"/>
                <w:spacing w:val="-4"/>
                <w:sz w:val="24"/>
                <w:szCs w:val="24"/>
                <w:highlight w:val="none"/>
              </w:rPr>
              <w:t>标保证金：全免</w:t>
            </w:r>
          </w:p>
          <w:p w14:paraId="721D5F27">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2D399F2A">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③代理服务费：按招标文件规定的收费标准下调10%</w:t>
            </w:r>
          </w:p>
          <w:p w14:paraId="332924CC">
            <w:pPr>
              <w:spacing w:line="360" w:lineRule="auto"/>
              <w:ind w:left="-65" w:leftChars="-31" w:firstLine="475" w:firstLineChars="205"/>
              <w:rPr>
                <w:rFonts w:ascii="宋体" w:hAnsi="宋体" w:cs="宋体"/>
                <w:b w:val="0"/>
                <w:color w:val="auto"/>
                <w:spacing w:val="-4"/>
                <w:sz w:val="24"/>
                <w:szCs w:val="24"/>
                <w:highlight w:val="none"/>
              </w:rPr>
            </w:pPr>
            <w:r>
              <w:rPr>
                <w:rFonts w:hint="eastAsia" w:ascii="宋体" w:hAnsi="宋体" w:cs="宋体"/>
                <w:b w:val="0"/>
                <w:bCs w:val="0"/>
                <w:color w:val="auto"/>
                <w:spacing w:val="-4"/>
                <w:sz w:val="24"/>
                <w:szCs w:val="24"/>
                <w:highlight w:val="none"/>
              </w:rPr>
              <w:t>④缩短付款时间</w:t>
            </w:r>
          </w:p>
          <w:p w14:paraId="297CBF93">
            <w:pPr>
              <w:spacing w:line="360" w:lineRule="auto"/>
              <w:ind w:left="-65" w:leftChars="-31" w:firstLine="475" w:firstLineChars="205"/>
              <w:rPr>
                <w:rFonts w:ascii="宋体" w:hAnsi="宋体" w:cs="宋体"/>
                <w:b w:val="0"/>
                <w:color w:val="auto"/>
                <w:spacing w:val="-4"/>
                <w:sz w:val="24"/>
                <w:szCs w:val="24"/>
                <w:highlight w:val="none"/>
              </w:rPr>
            </w:pPr>
            <w:r>
              <w:rPr>
                <w:rFonts w:hint="eastAsia" w:ascii="宋体" w:hAnsi="宋体" w:cs="宋体"/>
                <w:b w:val="0"/>
                <w:bCs w:val="0"/>
                <w:color w:val="auto"/>
                <w:spacing w:val="-4"/>
                <w:sz w:val="24"/>
                <w:szCs w:val="24"/>
                <w:highlight w:val="none"/>
              </w:rPr>
              <w:t>投标产品为小型企业或微型企业生产：</w:t>
            </w:r>
          </w:p>
          <w:p w14:paraId="067A1EEC">
            <w:pPr>
              <w:spacing w:line="360" w:lineRule="auto"/>
              <w:ind w:left="-65" w:leftChars="-31" w:firstLine="475" w:firstLineChars="205"/>
              <w:rPr>
                <w:rFonts w:ascii="宋体" w:hAnsi="宋体" w:cs="宋体"/>
                <w:color w:val="auto"/>
                <w:spacing w:val="-4"/>
                <w:sz w:val="24"/>
                <w:szCs w:val="24"/>
                <w:highlight w:val="none"/>
              </w:rPr>
            </w:pPr>
            <w:r>
              <w:rPr>
                <w:rFonts w:hint="eastAsia" w:ascii="宋体" w:hAnsi="宋体" w:cs="宋体"/>
                <w:b w:val="0"/>
                <w:bCs w:val="0"/>
                <w:color w:val="auto"/>
                <w:spacing w:val="-4"/>
                <w:sz w:val="24"/>
                <w:szCs w:val="24"/>
                <w:highlight w:val="none"/>
              </w:rPr>
              <w:t>投标人提供的货物既有中型企业制造，也有小微企业制造的，不享受办法规定的小微企业扶持政策。</w:t>
            </w:r>
          </w:p>
          <w:p w14:paraId="15C75BE5">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对其提供的小型或微型企业产品的投标报价给予20%的扣除，扣除后的价格作为该投标人的评标价参与价格评分。</w:t>
            </w:r>
          </w:p>
          <w:p w14:paraId="66E60AD8">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48E943DC">
            <w:pPr>
              <w:spacing w:line="360" w:lineRule="auto"/>
              <w:ind w:left="-65" w:leftChars="-31" w:firstLine="475" w:firstLineChars="205"/>
              <w:rPr>
                <w:rFonts w:ascii="宋体" w:hAnsi="宋体" w:cs="宋体"/>
                <w:color w:val="auto"/>
                <w:spacing w:val="-4"/>
                <w:sz w:val="24"/>
                <w:szCs w:val="24"/>
                <w:highlight w:val="none"/>
              </w:rPr>
            </w:pPr>
            <w:r>
              <w:rPr>
                <w:rFonts w:ascii="宋体" w:hAnsi="宋体" w:cs="宋体"/>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891E0D6">
            <w:pPr>
              <w:spacing w:line="360" w:lineRule="auto"/>
              <w:ind w:left="-65" w:leftChars="-31" w:firstLine="475" w:firstLineChars="205"/>
              <w:rPr>
                <w:rFonts w:hAnsi="宋体" w:cs="宋体"/>
                <w:color w:val="auto"/>
                <w:spacing w:val="-4"/>
                <w:sz w:val="24"/>
                <w:szCs w:val="24"/>
                <w:highlight w:val="none"/>
              </w:rPr>
            </w:pPr>
            <w:r>
              <w:rPr>
                <w:rFonts w:ascii="宋体" w:hAnsi="宋体" w:cs="宋体"/>
                <w:color w:val="auto"/>
                <w:spacing w:val="-4"/>
                <w:sz w:val="24"/>
                <w:szCs w:val="24"/>
                <w:highlight w:val="none"/>
              </w:rPr>
              <w:t>若本项目属于预留份额专门面向中小企业采购活动，不再执行价格评审优惠的扶持政策。</w:t>
            </w:r>
          </w:p>
        </w:tc>
      </w:tr>
      <w:tr w14:paraId="5EC0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31349244">
            <w:pPr>
              <w:widowControl/>
              <w:spacing w:line="360" w:lineRule="auto"/>
              <w:jc w:val="center"/>
              <w:rPr>
                <w:rFonts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1677" w:type="dxa"/>
            <w:vAlign w:val="center"/>
          </w:tcPr>
          <w:p w14:paraId="7E5EF2FE">
            <w:pPr>
              <w:pStyle w:val="9"/>
              <w:spacing w:before="0" w:beforeAutospacing="0" w:after="0" w:afterAutospacing="0" w:line="360" w:lineRule="auto"/>
              <w:rPr>
                <w:color w:val="auto"/>
                <w:highlight w:val="none"/>
              </w:rPr>
            </w:pPr>
            <w:r>
              <w:rPr>
                <w:rFonts w:hint="eastAsia"/>
                <w:color w:val="auto"/>
                <w:highlight w:val="none"/>
              </w:rPr>
              <w:t>本项目对应的中小企业划分标准所属</w:t>
            </w:r>
            <w:r>
              <w:rPr>
                <w:rFonts w:hint="eastAsia"/>
                <w:color w:val="auto"/>
                <w:highlight w:val="none"/>
                <w:u w:val="single"/>
              </w:rPr>
              <w:t>工业  行业。</w:t>
            </w:r>
          </w:p>
        </w:tc>
        <w:tc>
          <w:tcPr>
            <w:tcW w:w="6063" w:type="dxa"/>
            <w:tcBorders>
              <w:bottom w:val="single" w:color="auto" w:sz="4" w:space="0"/>
            </w:tcBorders>
          </w:tcPr>
          <w:p w14:paraId="70F74BCF">
            <w:pPr>
              <w:spacing w:line="360" w:lineRule="auto"/>
              <w:rPr>
                <w:rFonts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44D8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134097BD">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5</w:t>
            </w:r>
          </w:p>
        </w:tc>
        <w:tc>
          <w:tcPr>
            <w:tcW w:w="1677" w:type="dxa"/>
            <w:vAlign w:val="center"/>
          </w:tcPr>
          <w:p w14:paraId="0D046209">
            <w:pPr>
              <w:widowControl/>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6063" w:type="dxa"/>
            <w:tcBorders>
              <w:bottom w:val="single" w:color="auto" w:sz="4" w:space="0"/>
            </w:tcBorders>
          </w:tcPr>
          <w:p w14:paraId="4123E5C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066D98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1.投标货物全部或部分为使用大型企业注册商标的货物的；</w:t>
            </w:r>
          </w:p>
          <w:p w14:paraId="4A837F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2.投标文件中标明的中小企业产品的制造商不符合“工信部联企业[2011]300号”规定的中小企业标准的；</w:t>
            </w:r>
          </w:p>
          <w:p w14:paraId="1AF72576">
            <w:pPr>
              <w:spacing w:line="360" w:lineRule="auto"/>
              <w:ind w:firstLine="482" w:firstLineChars="200"/>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4BCF5A19">
            <w:pPr>
              <w:widowControl/>
              <w:spacing w:line="360" w:lineRule="auto"/>
              <w:rPr>
                <w:rFonts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1320496D">
      <w:pPr>
        <w:spacing w:line="360" w:lineRule="auto"/>
        <w:ind w:firstLine="482" w:firstLineChars="200"/>
        <w:rPr>
          <w:rFonts w:ascii="宋体" w:hAnsi="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48B9E9B3">
      <w:pPr>
        <w:pStyle w:val="2"/>
        <w:snapToGrid w:val="0"/>
        <w:spacing w:line="360" w:lineRule="auto"/>
        <w:ind w:firstLine="0"/>
        <w:jc w:val="center"/>
        <w:rPr>
          <w:rFonts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29D0AE91">
      <w:pPr>
        <w:pStyle w:val="6"/>
        <w:spacing w:after="0" w:line="360" w:lineRule="auto"/>
        <w:ind w:left="181" w:leftChars="86"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01BF76ED">
      <w:pPr>
        <w:pStyle w:val="6"/>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投标人应对招标文件中的“*”号条款进行逐条响应，否则评标委员会对其投标做出不利评审，投标人必须自行承担责任。</w:t>
      </w:r>
    </w:p>
    <w:p w14:paraId="742A691D">
      <w:pPr>
        <w:pStyle w:val="6"/>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5F154E0D">
      <w:pPr>
        <w:pStyle w:val="6"/>
        <w:spacing w:after="0" w:line="360" w:lineRule="auto"/>
        <w:ind w:left="0"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556263CF">
      <w:pPr>
        <w:pStyle w:val="6"/>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15DF282E">
      <w:pPr>
        <w:pStyle w:val="6"/>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（5）本项目实行网上发售招标文件的方式，招标文件的正式文本以厦门招投标网上下载的内容为准。</w:t>
      </w:r>
    </w:p>
    <w:p w14:paraId="5B14A091">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（6）资格性证明文件请单独成册。</w:t>
      </w:r>
    </w:p>
    <w:p w14:paraId="28605DF6">
      <w:pPr>
        <w:tabs>
          <w:tab w:val="left" w:pos="5130"/>
        </w:tabs>
        <w:spacing w:line="360" w:lineRule="auto"/>
        <w:ind w:firstLine="480" w:firstLineChars="200"/>
        <w:rPr>
          <w:rFonts w:ascii="宋体" w:hAnsi="宋体" w:cs="宋体"/>
          <w:color w:val="auto"/>
          <w:sz w:val="24"/>
          <w:szCs w:val="24"/>
          <w:highlight w:val="none"/>
        </w:rPr>
      </w:pPr>
    </w:p>
    <w:p w14:paraId="6309183E">
      <w:pPr>
        <w:tabs>
          <w:tab w:val="left" w:pos="5130"/>
        </w:tabs>
        <w:spacing w:line="360" w:lineRule="auto"/>
        <w:ind w:firstLine="480" w:firstLineChars="200"/>
        <w:rPr>
          <w:rFonts w:ascii="宋体" w:hAnsi="宋体" w:cs="宋体"/>
          <w:color w:val="auto"/>
          <w:sz w:val="24"/>
          <w:szCs w:val="24"/>
          <w:highlight w:val="none"/>
        </w:rPr>
      </w:pPr>
    </w:p>
    <w:p w14:paraId="355C66EE">
      <w:pPr>
        <w:tabs>
          <w:tab w:val="left" w:pos="5130"/>
        </w:tabs>
        <w:spacing w:line="360" w:lineRule="auto"/>
        <w:ind w:firstLine="480" w:firstLineChars="200"/>
        <w:rPr>
          <w:rFonts w:ascii="宋体" w:hAnsi="宋体" w:cs="宋体"/>
          <w:color w:val="auto"/>
          <w:sz w:val="24"/>
          <w:szCs w:val="24"/>
          <w:highlight w:val="none"/>
        </w:rPr>
      </w:pPr>
    </w:p>
    <w:p w14:paraId="240C442C">
      <w:pPr>
        <w:tabs>
          <w:tab w:val="left" w:pos="5130"/>
        </w:tabs>
        <w:spacing w:line="360" w:lineRule="auto"/>
        <w:ind w:firstLine="480" w:firstLineChars="200"/>
        <w:rPr>
          <w:rFonts w:ascii="宋体" w:hAnsi="宋体" w:cs="宋体"/>
          <w:color w:val="auto"/>
          <w:sz w:val="24"/>
          <w:szCs w:val="24"/>
          <w:highlight w:val="none"/>
        </w:rPr>
      </w:pPr>
    </w:p>
    <w:p w14:paraId="1E47251F">
      <w:pPr>
        <w:tabs>
          <w:tab w:val="left" w:pos="5130"/>
        </w:tabs>
        <w:spacing w:line="360" w:lineRule="auto"/>
        <w:ind w:firstLine="480" w:firstLineChars="200"/>
        <w:rPr>
          <w:rFonts w:ascii="宋体" w:hAnsi="宋体" w:cs="宋体"/>
          <w:color w:val="auto"/>
          <w:sz w:val="24"/>
          <w:szCs w:val="24"/>
          <w:highlight w:val="none"/>
        </w:rPr>
      </w:pPr>
    </w:p>
    <w:p w14:paraId="413E48C0">
      <w:pPr>
        <w:tabs>
          <w:tab w:val="left" w:pos="5130"/>
        </w:tabs>
        <w:spacing w:line="360" w:lineRule="auto"/>
        <w:ind w:firstLine="480" w:firstLineChars="200"/>
        <w:rPr>
          <w:rFonts w:ascii="宋体" w:hAnsi="宋体" w:cs="宋体"/>
          <w:color w:val="auto"/>
          <w:sz w:val="24"/>
          <w:szCs w:val="24"/>
          <w:highlight w:val="none"/>
        </w:rPr>
      </w:pPr>
    </w:p>
    <w:p w14:paraId="6F8C2F48">
      <w:pPr>
        <w:tabs>
          <w:tab w:val="left" w:pos="5130"/>
        </w:tabs>
        <w:spacing w:line="360" w:lineRule="auto"/>
        <w:ind w:firstLine="480" w:firstLineChars="200"/>
        <w:rPr>
          <w:rFonts w:ascii="宋体" w:hAnsi="宋体" w:cs="宋体"/>
          <w:color w:val="auto"/>
          <w:sz w:val="24"/>
          <w:szCs w:val="24"/>
          <w:highlight w:val="none"/>
        </w:rPr>
      </w:pPr>
    </w:p>
    <w:p w14:paraId="664E6C8B">
      <w:pPr>
        <w:tabs>
          <w:tab w:val="left" w:pos="5130"/>
        </w:tabs>
        <w:spacing w:line="360" w:lineRule="auto"/>
        <w:ind w:firstLine="480" w:firstLineChars="200"/>
        <w:rPr>
          <w:rFonts w:ascii="宋体" w:hAnsi="宋体" w:cs="宋体"/>
          <w:color w:val="auto"/>
          <w:sz w:val="24"/>
          <w:szCs w:val="24"/>
          <w:highlight w:val="none"/>
        </w:rPr>
      </w:pPr>
    </w:p>
    <w:p w14:paraId="065ECFA9">
      <w:pPr>
        <w:tabs>
          <w:tab w:val="left" w:pos="5130"/>
        </w:tabs>
        <w:spacing w:line="360" w:lineRule="auto"/>
        <w:ind w:firstLine="480" w:firstLineChars="200"/>
        <w:rPr>
          <w:rFonts w:ascii="宋体" w:hAnsi="宋体" w:cs="宋体"/>
          <w:color w:val="auto"/>
          <w:sz w:val="24"/>
          <w:szCs w:val="24"/>
          <w:highlight w:val="none"/>
        </w:rPr>
      </w:pPr>
    </w:p>
    <w:p w14:paraId="7251651B">
      <w:pPr>
        <w:tabs>
          <w:tab w:val="left" w:pos="5130"/>
        </w:tabs>
        <w:spacing w:line="360" w:lineRule="auto"/>
        <w:ind w:firstLine="480" w:firstLineChars="200"/>
        <w:rPr>
          <w:rFonts w:ascii="宋体" w:hAnsi="宋体" w:cs="宋体"/>
          <w:color w:val="auto"/>
          <w:sz w:val="24"/>
          <w:szCs w:val="24"/>
          <w:highlight w:val="none"/>
        </w:rPr>
      </w:pPr>
    </w:p>
    <w:p w14:paraId="247D71BD">
      <w:pPr>
        <w:tabs>
          <w:tab w:val="left" w:pos="5130"/>
        </w:tabs>
        <w:spacing w:line="360" w:lineRule="auto"/>
        <w:ind w:firstLine="480" w:firstLineChars="200"/>
        <w:rPr>
          <w:rFonts w:ascii="宋体" w:hAnsi="宋体" w:cs="宋体"/>
          <w:color w:val="auto"/>
          <w:sz w:val="24"/>
          <w:szCs w:val="24"/>
          <w:highlight w:val="none"/>
        </w:rPr>
      </w:pPr>
    </w:p>
    <w:p w14:paraId="10AA459E">
      <w:pPr>
        <w:tabs>
          <w:tab w:val="left" w:pos="5130"/>
        </w:tabs>
        <w:spacing w:line="360" w:lineRule="auto"/>
        <w:ind w:firstLine="480" w:firstLineChars="200"/>
        <w:rPr>
          <w:rFonts w:ascii="宋体" w:hAnsi="宋体" w:cs="宋体"/>
          <w:color w:val="auto"/>
          <w:sz w:val="24"/>
          <w:szCs w:val="24"/>
          <w:highlight w:val="none"/>
        </w:rPr>
      </w:pPr>
    </w:p>
    <w:p w14:paraId="2539FC1E">
      <w:pPr>
        <w:tabs>
          <w:tab w:val="left" w:pos="5130"/>
        </w:tabs>
        <w:spacing w:line="360" w:lineRule="auto"/>
        <w:ind w:firstLine="480" w:firstLineChars="200"/>
        <w:rPr>
          <w:rFonts w:ascii="宋体" w:hAnsi="宋体" w:cs="宋体"/>
          <w:color w:val="auto"/>
          <w:sz w:val="24"/>
          <w:szCs w:val="24"/>
          <w:highlight w:val="none"/>
        </w:rPr>
      </w:pPr>
    </w:p>
    <w:p w14:paraId="5093C9FD">
      <w:pPr>
        <w:tabs>
          <w:tab w:val="left" w:pos="5130"/>
        </w:tabs>
        <w:spacing w:line="360" w:lineRule="auto"/>
        <w:ind w:firstLine="480" w:firstLineChars="200"/>
        <w:rPr>
          <w:rFonts w:ascii="宋体" w:hAnsi="宋体" w:cs="宋体"/>
          <w:color w:val="auto"/>
          <w:sz w:val="24"/>
          <w:szCs w:val="24"/>
          <w:highlight w:val="none"/>
        </w:rPr>
      </w:pPr>
    </w:p>
    <w:p w14:paraId="06502DEF">
      <w:pPr>
        <w:tabs>
          <w:tab w:val="left" w:pos="5130"/>
        </w:tabs>
        <w:spacing w:line="360" w:lineRule="auto"/>
        <w:ind w:firstLine="480" w:firstLineChars="200"/>
        <w:rPr>
          <w:rFonts w:ascii="宋体" w:hAnsi="宋体" w:cs="宋体"/>
          <w:color w:val="auto"/>
          <w:sz w:val="24"/>
          <w:szCs w:val="24"/>
          <w:highlight w:val="none"/>
        </w:rPr>
      </w:pPr>
    </w:p>
    <w:p w14:paraId="6D89BF65">
      <w:pPr>
        <w:tabs>
          <w:tab w:val="left" w:pos="5130"/>
        </w:tabs>
        <w:spacing w:line="360" w:lineRule="auto"/>
        <w:ind w:firstLine="480" w:firstLineChars="200"/>
        <w:rPr>
          <w:rFonts w:ascii="宋体" w:hAnsi="宋体" w:cs="宋体"/>
          <w:color w:val="auto"/>
          <w:sz w:val="24"/>
          <w:szCs w:val="24"/>
          <w:highlight w:val="none"/>
        </w:rPr>
      </w:pPr>
    </w:p>
    <w:p w14:paraId="6C6A6642">
      <w:pPr>
        <w:tabs>
          <w:tab w:val="left" w:pos="5130"/>
        </w:tabs>
        <w:spacing w:line="360" w:lineRule="auto"/>
        <w:ind w:firstLine="480" w:firstLineChars="200"/>
        <w:rPr>
          <w:rFonts w:ascii="宋体" w:hAnsi="宋体" w:cs="宋体"/>
          <w:color w:val="auto"/>
          <w:sz w:val="24"/>
          <w:szCs w:val="24"/>
          <w:highlight w:val="none"/>
        </w:rPr>
      </w:pPr>
    </w:p>
    <w:p w14:paraId="0410ACD6">
      <w:pPr>
        <w:tabs>
          <w:tab w:val="left" w:pos="5130"/>
        </w:tabs>
        <w:spacing w:line="360" w:lineRule="auto"/>
        <w:ind w:firstLine="480" w:firstLineChars="200"/>
        <w:rPr>
          <w:rFonts w:ascii="宋体" w:hAnsi="宋体" w:cs="宋体"/>
          <w:color w:val="auto"/>
          <w:sz w:val="24"/>
          <w:szCs w:val="24"/>
          <w:highlight w:val="none"/>
        </w:rPr>
      </w:pPr>
    </w:p>
    <w:p w14:paraId="60B45F0C">
      <w:pPr>
        <w:tabs>
          <w:tab w:val="left" w:pos="5130"/>
        </w:tabs>
        <w:spacing w:line="360" w:lineRule="auto"/>
        <w:rPr>
          <w:rFonts w:ascii="宋体" w:hAnsi="宋体"/>
          <w:b/>
          <w:color w:val="auto"/>
          <w:sz w:val="28"/>
          <w:szCs w:val="28"/>
          <w:highlight w:val="none"/>
        </w:rPr>
      </w:pPr>
      <w:r>
        <w:rPr>
          <w:rFonts w:hint="eastAsia" w:ascii="宋体" w:hAnsi="宋体"/>
          <w:b/>
          <w:color w:val="auto"/>
          <w:sz w:val="28"/>
          <w:szCs w:val="28"/>
          <w:highlight w:val="none"/>
        </w:rPr>
        <w:t>一、招标货物一览表及主要技术参数要求</w:t>
      </w:r>
    </w:p>
    <w:p w14:paraId="0FB554CC">
      <w:pPr>
        <w:tabs>
          <w:tab w:val="left" w:pos="5130"/>
        </w:tabs>
        <w:spacing w:line="360" w:lineRule="auto"/>
        <w:ind w:firstLine="480"/>
        <w:rPr>
          <w:rFonts w:ascii="宋体" w:hAnsi="宋体" w:cs="宋体"/>
          <w:b/>
          <w:color w:val="auto"/>
          <w:sz w:val="24"/>
          <w:szCs w:val="24"/>
          <w:highlight w:val="none"/>
        </w:rPr>
      </w:pPr>
      <w:r>
        <w:rPr>
          <w:rFonts w:hint="eastAsia" w:ascii="宋体" w:hAnsi="宋体" w:cs="宋体"/>
          <w:color w:val="auto"/>
          <w:sz w:val="24"/>
          <w:szCs w:val="24"/>
          <w:highlight w:val="none"/>
        </w:rPr>
        <w:t>（一）招标货物一览表</w:t>
      </w:r>
    </w:p>
    <w:tbl>
      <w:tblPr>
        <w:tblStyle w:val="12"/>
        <w:tblW w:w="9100" w:type="dxa"/>
        <w:tblInd w:w="93" w:type="dxa"/>
        <w:tblLayout w:type="fixed"/>
        <w:tblCellMar>
          <w:top w:w="0" w:type="dxa"/>
          <w:left w:w="108" w:type="dxa"/>
          <w:bottom w:w="0" w:type="dxa"/>
          <w:right w:w="108" w:type="dxa"/>
        </w:tblCellMar>
      </w:tblPr>
      <w:tblGrid>
        <w:gridCol w:w="1080"/>
        <w:gridCol w:w="4370"/>
        <w:gridCol w:w="950"/>
        <w:gridCol w:w="1467"/>
        <w:gridCol w:w="1233"/>
      </w:tblGrid>
      <w:tr w14:paraId="071F8A84">
        <w:tblPrEx>
          <w:tblCellMar>
            <w:top w:w="0" w:type="dxa"/>
            <w:left w:w="108" w:type="dxa"/>
            <w:bottom w:w="0" w:type="dxa"/>
            <w:right w:w="108" w:type="dxa"/>
          </w:tblCellMar>
        </w:tblPrEx>
        <w:trPr>
          <w:trHeight w:val="495"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67D640F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品目号</w:t>
            </w:r>
          </w:p>
        </w:tc>
        <w:tc>
          <w:tcPr>
            <w:tcW w:w="4370" w:type="dxa"/>
            <w:tcBorders>
              <w:top w:val="single" w:color="000000" w:sz="4" w:space="0"/>
              <w:left w:val="single" w:color="000000" w:sz="4" w:space="0"/>
              <w:bottom w:val="single" w:color="000000" w:sz="4" w:space="0"/>
              <w:right w:val="single" w:color="000000" w:sz="4" w:space="0"/>
            </w:tcBorders>
            <w:vAlign w:val="center"/>
          </w:tcPr>
          <w:p w14:paraId="4C72FAE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950" w:type="dxa"/>
            <w:tcBorders>
              <w:top w:val="single" w:color="000000" w:sz="4" w:space="0"/>
              <w:left w:val="single" w:color="000000" w:sz="4" w:space="0"/>
              <w:bottom w:val="single" w:color="000000" w:sz="4" w:space="0"/>
              <w:right w:val="single" w:color="000000" w:sz="4" w:space="0"/>
            </w:tcBorders>
            <w:vAlign w:val="center"/>
          </w:tcPr>
          <w:p w14:paraId="4CC9C86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数量（台）</w:t>
            </w:r>
          </w:p>
        </w:tc>
        <w:tc>
          <w:tcPr>
            <w:tcW w:w="1467" w:type="dxa"/>
            <w:tcBorders>
              <w:top w:val="single" w:color="000000" w:sz="4" w:space="0"/>
              <w:left w:val="single" w:color="000000" w:sz="4" w:space="0"/>
              <w:bottom w:val="single" w:color="000000" w:sz="4" w:space="0"/>
              <w:right w:val="single" w:color="000000" w:sz="4" w:space="0"/>
            </w:tcBorders>
            <w:vAlign w:val="center"/>
          </w:tcPr>
          <w:p w14:paraId="76B440C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单品限价</w:t>
            </w:r>
          </w:p>
          <w:p w14:paraId="75DCFF0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（元/台）</w:t>
            </w:r>
          </w:p>
        </w:tc>
        <w:tc>
          <w:tcPr>
            <w:tcW w:w="1233" w:type="dxa"/>
            <w:tcBorders>
              <w:top w:val="single" w:color="000000" w:sz="4" w:space="0"/>
              <w:left w:val="single" w:color="000000" w:sz="4" w:space="0"/>
              <w:bottom w:val="single" w:color="000000" w:sz="4" w:space="0"/>
              <w:right w:val="single" w:color="000000" w:sz="4" w:space="0"/>
            </w:tcBorders>
            <w:vAlign w:val="center"/>
          </w:tcPr>
          <w:p w14:paraId="4584C21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合计</w:t>
            </w:r>
          </w:p>
        </w:tc>
      </w:tr>
      <w:tr w14:paraId="5A53C94D">
        <w:tblPrEx>
          <w:tblCellMar>
            <w:top w:w="0" w:type="dxa"/>
            <w:left w:w="108" w:type="dxa"/>
            <w:bottom w:w="0" w:type="dxa"/>
            <w:right w:w="108"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1DDA61A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4370" w:type="dxa"/>
            <w:tcBorders>
              <w:top w:val="single" w:color="000000" w:sz="4" w:space="0"/>
              <w:left w:val="single" w:color="000000" w:sz="4" w:space="0"/>
              <w:bottom w:val="single" w:color="000000" w:sz="4" w:space="0"/>
              <w:right w:val="single" w:color="000000" w:sz="4" w:space="0"/>
            </w:tcBorders>
            <w:vAlign w:val="center"/>
          </w:tcPr>
          <w:p w14:paraId="46FAF4E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A4彩色单功能喷墨打印机</w:t>
            </w:r>
          </w:p>
        </w:tc>
        <w:tc>
          <w:tcPr>
            <w:tcW w:w="950" w:type="dxa"/>
            <w:tcBorders>
              <w:top w:val="single" w:color="000000" w:sz="4" w:space="0"/>
              <w:left w:val="single" w:color="000000" w:sz="4" w:space="0"/>
              <w:bottom w:val="single" w:color="000000" w:sz="4" w:space="0"/>
              <w:right w:val="single" w:color="000000" w:sz="4" w:space="0"/>
            </w:tcBorders>
            <w:vAlign w:val="center"/>
          </w:tcPr>
          <w:p w14:paraId="6D77256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1467" w:type="dxa"/>
            <w:tcBorders>
              <w:top w:val="single" w:color="000000" w:sz="4" w:space="0"/>
              <w:left w:val="single" w:color="000000" w:sz="4" w:space="0"/>
              <w:bottom w:val="single" w:color="000000" w:sz="4" w:space="0"/>
              <w:right w:val="single" w:color="000000" w:sz="4" w:space="0"/>
            </w:tcBorders>
            <w:vAlign w:val="center"/>
          </w:tcPr>
          <w:p w14:paraId="3C9C1C6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800</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79E0293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8,000 </w:t>
            </w:r>
          </w:p>
        </w:tc>
      </w:tr>
      <w:tr w14:paraId="24251A1F">
        <w:tblPrEx>
          <w:tblCellMar>
            <w:top w:w="0" w:type="dxa"/>
            <w:left w:w="108" w:type="dxa"/>
            <w:bottom w:w="0" w:type="dxa"/>
            <w:right w:w="108"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0DCABCC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4370" w:type="dxa"/>
            <w:tcBorders>
              <w:top w:val="single" w:color="000000" w:sz="4" w:space="0"/>
              <w:left w:val="single" w:color="000000" w:sz="4" w:space="0"/>
              <w:bottom w:val="single" w:color="000000" w:sz="4" w:space="0"/>
              <w:right w:val="single" w:color="000000" w:sz="4" w:space="0"/>
            </w:tcBorders>
            <w:vAlign w:val="center"/>
          </w:tcPr>
          <w:p w14:paraId="6CCB408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A4彩色多功能喷墨打印机（基础）</w:t>
            </w:r>
          </w:p>
        </w:tc>
        <w:tc>
          <w:tcPr>
            <w:tcW w:w="950" w:type="dxa"/>
            <w:tcBorders>
              <w:top w:val="single" w:color="000000" w:sz="4" w:space="0"/>
              <w:left w:val="single" w:color="000000" w:sz="4" w:space="0"/>
              <w:bottom w:val="single" w:color="000000" w:sz="4" w:space="0"/>
              <w:right w:val="single" w:color="000000" w:sz="4" w:space="0"/>
            </w:tcBorders>
            <w:vAlign w:val="center"/>
          </w:tcPr>
          <w:p w14:paraId="01332F69">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70</w:t>
            </w:r>
          </w:p>
        </w:tc>
        <w:tc>
          <w:tcPr>
            <w:tcW w:w="1467" w:type="dxa"/>
            <w:tcBorders>
              <w:top w:val="single" w:color="000000" w:sz="4" w:space="0"/>
              <w:left w:val="single" w:color="000000" w:sz="4" w:space="0"/>
              <w:bottom w:val="single" w:color="000000" w:sz="4" w:space="0"/>
              <w:right w:val="single" w:color="000000" w:sz="4" w:space="0"/>
            </w:tcBorders>
            <w:vAlign w:val="center"/>
          </w:tcPr>
          <w:p w14:paraId="4B912EA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1,500</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4B403B6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105,000 </w:t>
            </w:r>
          </w:p>
        </w:tc>
      </w:tr>
      <w:tr w14:paraId="2C260018">
        <w:tblPrEx>
          <w:tblCellMar>
            <w:top w:w="0" w:type="dxa"/>
            <w:left w:w="108" w:type="dxa"/>
            <w:bottom w:w="0" w:type="dxa"/>
            <w:right w:w="108"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2A829C4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4370" w:type="dxa"/>
            <w:tcBorders>
              <w:top w:val="single" w:color="000000" w:sz="4" w:space="0"/>
              <w:left w:val="single" w:color="000000" w:sz="4" w:space="0"/>
              <w:bottom w:val="single" w:color="000000" w:sz="4" w:space="0"/>
              <w:right w:val="single" w:color="000000" w:sz="4" w:space="0"/>
            </w:tcBorders>
            <w:vAlign w:val="center"/>
          </w:tcPr>
          <w:p w14:paraId="50940AC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A4彩色多功能喷墨打印机（高端）</w:t>
            </w:r>
          </w:p>
        </w:tc>
        <w:tc>
          <w:tcPr>
            <w:tcW w:w="950" w:type="dxa"/>
            <w:tcBorders>
              <w:top w:val="single" w:color="000000" w:sz="4" w:space="0"/>
              <w:left w:val="single" w:color="000000" w:sz="4" w:space="0"/>
              <w:bottom w:val="single" w:color="000000" w:sz="4" w:space="0"/>
              <w:right w:val="single" w:color="000000" w:sz="4" w:space="0"/>
            </w:tcBorders>
            <w:vAlign w:val="center"/>
          </w:tcPr>
          <w:p w14:paraId="4334A88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42</w:t>
            </w:r>
          </w:p>
        </w:tc>
        <w:tc>
          <w:tcPr>
            <w:tcW w:w="1467" w:type="dxa"/>
            <w:tcBorders>
              <w:top w:val="single" w:color="000000" w:sz="4" w:space="0"/>
              <w:left w:val="single" w:color="000000" w:sz="4" w:space="0"/>
              <w:bottom w:val="single" w:color="000000" w:sz="4" w:space="0"/>
              <w:right w:val="single" w:color="000000" w:sz="4" w:space="0"/>
            </w:tcBorders>
            <w:vAlign w:val="center"/>
          </w:tcPr>
          <w:p w14:paraId="1016A12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2,200</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321ECF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92,400 </w:t>
            </w:r>
          </w:p>
        </w:tc>
      </w:tr>
      <w:tr w14:paraId="130E106E">
        <w:tblPrEx>
          <w:tblCellMar>
            <w:top w:w="0" w:type="dxa"/>
            <w:left w:w="108" w:type="dxa"/>
            <w:bottom w:w="0" w:type="dxa"/>
            <w:right w:w="108"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0E3D4CE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4370" w:type="dxa"/>
            <w:tcBorders>
              <w:top w:val="single" w:color="000000" w:sz="4" w:space="0"/>
              <w:left w:val="single" w:color="000000" w:sz="4" w:space="0"/>
              <w:bottom w:val="single" w:color="000000" w:sz="4" w:space="0"/>
              <w:right w:val="single" w:color="000000" w:sz="4" w:space="0"/>
            </w:tcBorders>
            <w:vAlign w:val="center"/>
          </w:tcPr>
          <w:p w14:paraId="4704806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A4彩色单功能便携式喷墨打印机</w:t>
            </w:r>
          </w:p>
        </w:tc>
        <w:tc>
          <w:tcPr>
            <w:tcW w:w="950" w:type="dxa"/>
            <w:tcBorders>
              <w:top w:val="single" w:color="000000" w:sz="4" w:space="0"/>
              <w:left w:val="single" w:color="000000" w:sz="4" w:space="0"/>
              <w:bottom w:val="single" w:color="000000" w:sz="4" w:space="0"/>
              <w:right w:val="single" w:color="000000" w:sz="4" w:space="0"/>
            </w:tcBorders>
            <w:vAlign w:val="center"/>
          </w:tcPr>
          <w:p w14:paraId="08093B1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115</w:t>
            </w:r>
          </w:p>
        </w:tc>
        <w:tc>
          <w:tcPr>
            <w:tcW w:w="1467" w:type="dxa"/>
            <w:tcBorders>
              <w:top w:val="single" w:color="000000" w:sz="4" w:space="0"/>
              <w:left w:val="single" w:color="000000" w:sz="4" w:space="0"/>
              <w:bottom w:val="single" w:color="000000" w:sz="4" w:space="0"/>
              <w:right w:val="single" w:color="000000" w:sz="4" w:space="0"/>
            </w:tcBorders>
            <w:vAlign w:val="center"/>
          </w:tcPr>
          <w:p w14:paraId="24B6EB4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2,100</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581238A">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241,500 </w:t>
            </w:r>
          </w:p>
        </w:tc>
      </w:tr>
      <w:tr w14:paraId="7C008EC0">
        <w:tblPrEx>
          <w:tblCellMar>
            <w:top w:w="0" w:type="dxa"/>
            <w:left w:w="108" w:type="dxa"/>
            <w:bottom w:w="0" w:type="dxa"/>
            <w:right w:w="108" w:type="dxa"/>
          </w:tblCellMar>
        </w:tblPrEx>
        <w:trPr>
          <w:trHeight w:val="500"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58CFD9C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1-5</w:t>
            </w:r>
          </w:p>
        </w:tc>
        <w:tc>
          <w:tcPr>
            <w:tcW w:w="4370" w:type="dxa"/>
            <w:tcBorders>
              <w:top w:val="single" w:color="000000" w:sz="4" w:space="0"/>
              <w:left w:val="single" w:color="000000" w:sz="4" w:space="0"/>
              <w:bottom w:val="single" w:color="000000" w:sz="4" w:space="0"/>
              <w:right w:val="single" w:color="000000" w:sz="4" w:space="0"/>
            </w:tcBorders>
            <w:vAlign w:val="center"/>
          </w:tcPr>
          <w:p w14:paraId="1CDC9BCB">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A3彩色单功能打印机</w:t>
            </w:r>
          </w:p>
        </w:tc>
        <w:tc>
          <w:tcPr>
            <w:tcW w:w="950" w:type="dxa"/>
            <w:tcBorders>
              <w:top w:val="single" w:color="000000" w:sz="4" w:space="0"/>
              <w:left w:val="single" w:color="000000" w:sz="4" w:space="0"/>
              <w:bottom w:val="single" w:color="000000" w:sz="4" w:space="0"/>
              <w:right w:val="single" w:color="000000" w:sz="4" w:space="0"/>
            </w:tcBorders>
            <w:vAlign w:val="center"/>
          </w:tcPr>
          <w:p w14:paraId="436643A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1467" w:type="dxa"/>
            <w:tcBorders>
              <w:top w:val="single" w:color="000000" w:sz="4" w:space="0"/>
              <w:left w:val="single" w:color="000000" w:sz="4" w:space="0"/>
              <w:bottom w:val="single" w:color="000000" w:sz="4" w:space="0"/>
              <w:right w:val="single" w:color="000000" w:sz="4" w:space="0"/>
            </w:tcBorders>
            <w:vAlign w:val="center"/>
          </w:tcPr>
          <w:p w14:paraId="1844500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2,600</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6CDF8B81">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33,800 </w:t>
            </w:r>
          </w:p>
        </w:tc>
      </w:tr>
      <w:tr w14:paraId="44847A8B">
        <w:tblPrEx>
          <w:tblCellMar>
            <w:top w:w="0" w:type="dxa"/>
            <w:left w:w="108" w:type="dxa"/>
            <w:bottom w:w="0" w:type="dxa"/>
            <w:right w:w="108" w:type="dxa"/>
          </w:tblCellMar>
        </w:tblPrEx>
        <w:trPr>
          <w:trHeight w:val="500" w:hRule="atLeast"/>
        </w:trPr>
        <w:tc>
          <w:tcPr>
            <w:tcW w:w="5450" w:type="dxa"/>
            <w:gridSpan w:val="2"/>
            <w:tcBorders>
              <w:top w:val="single" w:color="000000" w:sz="4" w:space="0"/>
              <w:left w:val="single" w:color="000000" w:sz="4" w:space="0"/>
              <w:bottom w:val="single" w:color="000000" w:sz="4" w:space="0"/>
              <w:right w:val="single" w:color="000000" w:sz="4" w:space="0"/>
            </w:tcBorders>
            <w:noWrap/>
            <w:vAlign w:val="center"/>
          </w:tcPr>
          <w:p w14:paraId="76BEC0AD">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合计</w:t>
            </w:r>
          </w:p>
        </w:tc>
        <w:tc>
          <w:tcPr>
            <w:tcW w:w="950" w:type="dxa"/>
            <w:tcBorders>
              <w:top w:val="single" w:color="000000" w:sz="4" w:space="0"/>
              <w:left w:val="single" w:color="000000" w:sz="4" w:space="0"/>
              <w:bottom w:val="single" w:color="000000" w:sz="4" w:space="0"/>
              <w:right w:val="single" w:color="000000" w:sz="4" w:space="0"/>
            </w:tcBorders>
            <w:noWrap/>
            <w:vAlign w:val="center"/>
          </w:tcPr>
          <w:p w14:paraId="3BD533A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250</w:t>
            </w:r>
          </w:p>
        </w:tc>
        <w:tc>
          <w:tcPr>
            <w:tcW w:w="1467" w:type="dxa"/>
            <w:tcBorders>
              <w:top w:val="single" w:color="000000" w:sz="4" w:space="0"/>
              <w:left w:val="single" w:color="000000" w:sz="4" w:space="0"/>
              <w:bottom w:val="single" w:color="000000" w:sz="4" w:space="0"/>
              <w:right w:val="single" w:color="000000" w:sz="4" w:space="0"/>
            </w:tcBorders>
            <w:noWrap/>
            <w:vAlign w:val="center"/>
          </w:tcPr>
          <w:p w14:paraId="29DD0016">
            <w:pPr>
              <w:spacing w:line="360" w:lineRule="auto"/>
              <w:jc w:val="center"/>
              <w:rPr>
                <w:rFonts w:ascii="宋体" w:hAnsi="宋体" w:cs="宋体"/>
                <w:color w:val="auto"/>
                <w:sz w:val="24"/>
                <w:szCs w:val="24"/>
                <w:highlight w:val="none"/>
              </w:rPr>
            </w:pPr>
            <w:r>
              <w:rPr>
                <w:rFonts w:hint="eastAsia" w:ascii="微软雅黑" w:hAnsi="微软雅黑" w:eastAsia="微软雅黑" w:cs="微软雅黑"/>
                <w:color w:val="auto"/>
                <w:kern w:val="0"/>
                <w:sz w:val="24"/>
                <w:szCs w:val="24"/>
                <w:highlight w:val="none"/>
              </w:rPr>
              <w:t>/</w:t>
            </w:r>
          </w:p>
        </w:tc>
        <w:tc>
          <w:tcPr>
            <w:tcW w:w="1233" w:type="dxa"/>
            <w:tcBorders>
              <w:top w:val="single" w:color="000000" w:sz="4" w:space="0"/>
              <w:left w:val="single" w:color="000000" w:sz="4" w:space="0"/>
              <w:bottom w:val="single" w:color="000000" w:sz="4" w:space="0"/>
              <w:right w:val="single" w:color="000000" w:sz="4" w:space="0"/>
            </w:tcBorders>
            <w:noWrap/>
            <w:vAlign w:val="center"/>
          </w:tcPr>
          <w:p w14:paraId="2F491C6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480,700 </w:t>
            </w:r>
          </w:p>
        </w:tc>
      </w:tr>
    </w:tbl>
    <w:p w14:paraId="03E7EB48">
      <w:pPr>
        <w:pStyle w:val="10"/>
        <w:spacing w:line="360" w:lineRule="auto"/>
        <w:ind w:firstLineChars="200"/>
        <w:rPr>
          <w:color w:val="auto"/>
          <w:szCs w:val="22"/>
          <w:highlight w:val="none"/>
        </w:rPr>
      </w:pPr>
    </w:p>
    <w:p w14:paraId="4455F46F">
      <w:pPr>
        <w:pStyle w:val="10"/>
        <w:spacing w:line="360" w:lineRule="auto"/>
        <w:ind w:firstLine="560" w:firstLineChars="200"/>
        <w:rPr>
          <w:color w:val="auto"/>
          <w:szCs w:val="22"/>
          <w:highlight w:val="none"/>
        </w:rPr>
      </w:pPr>
      <w:r>
        <w:rPr>
          <w:rFonts w:hint="eastAsia"/>
          <w:color w:val="auto"/>
          <w:sz w:val="28"/>
          <w:szCs w:val="28"/>
          <w:highlight w:val="none"/>
        </w:rPr>
        <w:t>（二）主要技术参数要求</w:t>
      </w:r>
    </w:p>
    <w:tbl>
      <w:tblPr>
        <w:tblStyle w:val="12"/>
        <w:tblpPr w:leftFromText="180" w:rightFromText="180" w:vertAnchor="text" w:horzAnchor="margin" w:tblpY="753"/>
        <w:tblOverlap w:val="never"/>
        <w:tblW w:w="9949" w:type="dxa"/>
        <w:tblInd w:w="0" w:type="dxa"/>
        <w:tblLayout w:type="autofit"/>
        <w:tblCellMar>
          <w:top w:w="0" w:type="dxa"/>
          <w:left w:w="108" w:type="dxa"/>
          <w:bottom w:w="0" w:type="dxa"/>
          <w:right w:w="108" w:type="dxa"/>
        </w:tblCellMar>
      </w:tblPr>
      <w:tblGrid>
        <w:gridCol w:w="1235"/>
        <w:gridCol w:w="1716"/>
        <w:gridCol w:w="6998"/>
      </w:tblGrid>
      <w:tr w14:paraId="08BB91F3">
        <w:tblPrEx>
          <w:tblCellMar>
            <w:top w:w="0" w:type="dxa"/>
            <w:left w:w="108" w:type="dxa"/>
            <w:bottom w:w="0" w:type="dxa"/>
            <w:right w:w="108" w:type="dxa"/>
          </w:tblCellMar>
        </w:tblPrEx>
        <w:trPr>
          <w:trHeight w:val="385" w:hRule="atLeast"/>
        </w:trPr>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E517">
            <w:pPr>
              <w:widowControl/>
              <w:spacing w:line="360" w:lineRule="auto"/>
              <w:jc w:val="left"/>
              <w:textAlignment w:val="center"/>
              <w:rPr>
                <w:rFonts w:ascii="宋体" w:hAnsi="宋体" w:cs="宋体"/>
                <w:b/>
                <w:bCs/>
                <w:color w:val="auto"/>
                <w:sz w:val="24"/>
                <w:szCs w:val="24"/>
                <w:highlight w:val="none"/>
              </w:rPr>
            </w:pPr>
            <w:r>
              <w:rPr>
                <w:rFonts w:hint="eastAsia" w:ascii="宋体" w:hAnsi="宋体" w:cs="宋体"/>
                <w:b/>
                <w:bCs/>
                <w:color w:val="auto"/>
                <w:kern w:val="0"/>
                <w:sz w:val="24"/>
                <w:szCs w:val="24"/>
                <w:highlight w:val="none"/>
              </w:rPr>
              <w:t>品目号</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179E">
            <w:pPr>
              <w:widowControl/>
              <w:spacing w:line="360" w:lineRule="auto"/>
              <w:jc w:val="left"/>
              <w:textAlignment w:val="center"/>
              <w:rPr>
                <w:rFonts w:ascii="宋体" w:hAnsi="宋体" w:cs="宋体"/>
                <w:b/>
                <w:bCs/>
                <w:color w:val="auto"/>
                <w:sz w:val="24"/>
                <w:szCs w:val="24"/>
                <w:highlight w:val="none"/>
              </w:rPr>
            </w:pPr>
            <w:r>
              <w:rPr>
                <w:rFonts w:hint="eastAsia" w:ascii="宋体" w:hAnsi="宋体" w:cs="宋体"/>
                <w:b/>
                <w:bCs/>
                <w:color w:val="auto"/>
                <w:kern w:val="0"/>
                <w:sz w:val="24"/>
                <w:szCs w:val="24"/>
                <w:highlight w:val="none"/>
              </w:rPr>
              <w:t>货物名称</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8133">
            <w:pPr>
              <w:widowControl/>
              <w:spacing w:line="360" w:lineRule="auto"/>
              <w:jc w:val="left"/>
              <w:textAlignment w:val="center"/>
              <w:rPr>
                <w:rFonts w:ascii="宋体" w:hAnsi="宋体" w:cs="宋体"/>
                <w:b/>
                <w:bCs/>
                <w:color w:val="auto"/>
                <w:sz w:val="24"/>
                <w:szCs w:val="24"/>
                <w:highlight w:val="none"/>
              </w:rPr>
            </w:pPr>
            <w:r>
              <w:rPr>
                <w:rFonts w:hint="eastAsia" w:ascii="宋体" w:hAnsi="宋体" w:cs="宋体"/>
                <w:b/>
                <w:bCs/>
                <w:color w:val="auto"/>
                <w:kern w:val="0"/>
                <w:sz w:val="24"/>
                <w:szCs w:val="24"/>
                <w:highlight w:val="none"/>
              </w:rPr>
              <w:t>主要技术参数</w:t>
            </w:r>
          </w:p>
        </w:tc>
      </w:tr>
      <w:tr w14:paraId="3825CD78">
        <w:tblPrEx>
          <w:tblCellMar>
            <w:top w:w="0" w:type="dxa"/>
            <w:left w:w="108" w:type="dxa"/>
            <w:bottom w:w="0" w:type="dxa"/>
            <w:right w:w="108" w:type="dxa"/>
          </w:tblCellMar>
        </w:tblPrEx>
        <w:trPr>
          <w:trHeight w:val="419" w:hRule="atLeast"/>
        </w:trPr>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6F9A">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1-1</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5CEA9">
            <w:pPr>
              <w:widowControl/>
              <w:spacing w:line="360" w:lineRule="auto"/>
              <w:jc w:val="left"/>
              <w:textAlignment w:val="center"/>
              <w:rPr>
                <w:rFonts w:ascii="宋体" w:hAnsi="宋体" w:cs="宋体"/>
                <w:color w:val="auto"/>
                <w:sz w:val="24"/>
                <w:szCs w:val="24"/>
                <w:highlight w:val="none"/>
              </w:rPr>
            </w:pPr>
            <w:r>
              <w:rPr>
                <w:rFonts w:ascii="宋体" w:hAnsi="宋体" w:cs="宋体"/>
                <w:color w:val="auto"/>
                <w:kern w:val="0"/>
                <w:sz w:val="24"/>
                <w:szCs w:val="24"/>
                <w:highlight w:val="none"/>
              </w:rPr>
              <w:t>A4彩色单功能喷墨打印机</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5D526">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最大输出幅面≥</w:t>
            </w:r>
            <w:r>
              <w:rPr>
                <w:rFonts w:ascii="宋体" w:hAnsi="宋体" w:cs="宋体"/>
                <w:color w:val="auto"/>
                <w:kern w:val="0"/>
                <w:sz w:val="24"/>
                <w:szCs w:val="24"/>
                <w:highlight w:val="none"/>
              </w:rPr>
              <w:t>A4</w:t>
            </w:r>
          </w:p>
        </w:tc>
      </w:tr>
      <w:tr w14:paraId="78AC80CA">
        <w:tblPrEx>
          <w:tblCellMar>
            <w:top w:w="0" w:type="dxa"/>
            <w:left w:w="108" w:type="dxa"/>
            <w:bottom w:w="0" w:type="dxa"/>
            <w:right w:w="108" w:type="dxa"/>
          </w:tblCellMar>
        </w:tblPrEx>
        <w:trPr>
          <w:trHeight w:val="814"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823C9">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1D238">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AD8B">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*打印速度：黑白≥</w:t>
            </w:r>
            <w:r>
              <w:rPr>
                <w:rFonts w:ascii="宋体" w:hAnsi="宋体" w:cs="宋体"/>
                <w:b/>
                <w:color w:val="auto"/>
                <w:kern w:val="0"/>
                <w:sz w:val="24"/>
                <w:szCs w:val="24"/>
                <w:highlight w:val="none"/>
              </w:rPr>
              <w:t>7.5页</w:t>
            </w:r>
            <w:r>
              <w:rPr>
                <w:rFonts w:hint="eastAsia" w:ascii="宋体" w:hAnsi="宋体" w:cs="宋体"/>
                <w:b/>
                <w:color w:val="auto"/>
                <w:kern w:val="0"/>
                <w:sz w:val="24"/>
                <w:szCs w:val="24"/>
                <w:highlight w:val="none"/>
              </w:rPr>
              <w:t>每分钟（</w:t>
            </w:r>
            <w:r>
              <w:rPr>
                <w:rFonts w:ascii="宋体" w:hAnsi="宋体" w:cs="宋体"/>
                <w:b/>
                <w:color w:val="auto"/>
                <w:kern w:val="0"/>
                <w:sz w:val="24"/>
                <w:szCs w:val="24"/>
                <w:highlight w:val="none"/>
              </w:rPr>
              <w:t>iPM</w:t>
            </w:r>
            <w:r>
              <w:rPr>
                <w:rFonts w:hint="eastAsia" w:ascii="宋体" w:hAnsi="宋体" w:cs="宋体"/>
                <w:b/>
                <w:color w:val="auto"/>
                <w:kern w:val="0"/>
                <w:sz w:val="24"/>
                <w:szCs w:val="24"/>
                <w:highlight w:val="none"/>
              </w:rPr>
              <w:t>），彩色≥</w:t>
            </w:r>
            <w:r>
              <w:rPr>
                <w:rFonts w:ascii="宋体" w:hAnsi="宋体" w:cs="宋体"/>
                <w:b/>
                <w:color w:val="auto"/>
                <w:kern w:val="0"/>
                <w:sz w:val="24"/>
                <w:szCs w:val="24"/>
                <w:highlight w:val="none"/>
              </w:rPr>
              <w:t>5页每分钟（iPM</w:t>
            </w:r>
            <w:r>
              <w:rPr>
                <w:rFonts w:hint="eastAsia" w:ascii="宋体" w:hAnsi="宋体" w:cs="宋体"/>
                <w:b/>
                <w:color w:val="auto"/>
                <w:kern w:val="0"/>
                <w:sz w:val="24"/>
                <w:szCs w:val="24"/>
                <w:highlight w:val="none"/>
              </w:rPr>
              <w:t>）；标配</w:t>
            </w:r>
            <w:r>
              <w:rPr>
                <w:rFonts w:ascii="宋体" w:hAnsi="宋体" w:cs="宋体"/>
                <w:b/>
                <w:color w:val="auto"/>
                <w:kern w:val="0"/>
                <w:sz w:val="24"/>
                <w:szCs w:val="24"/>
                <w:highlight w:val="none"/>
              </w:rPr>
              <w:t>USB2.0接口；配备USB数据线</w:t>
            </w:r>
          </w:p>
        </w:tc>
      </w:tr>
      <w:tr w14:paraId="4866BA8D">
        <w:tblPrEx>
          <w:tblCellMar>
            <w:top w:w="0" w:type="dxa"/>
            <w:left w:w="108" w:type="dxa"/>
            <w:bottom w:w="0" w:type="dxa"/>
            <w:right w:w="108" w:type="dxa"/>
          </w:tblCellMar>
        </w:tblPrEx>
        <w:trPr>
          <w:trHeight w:val="468"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91DE">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1F99A">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75B2">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耗材色彩：</w:t>
            </w:r>
            <w:r>
              <w:rPr>
                <w:rFonts w:ascii="宋体" w:hAnsi="宋体" w:cs="宋体"/>
                <w:color w:val="auto"/>
                <w:kern w:val="0"/>
                <w:sz w:val="24"/>
                <w:szCs w:val="24"/>
                <w:highlight w:val="none"/>
              </w:rPr>
              <w:t>4色及以上</w:t>
            </w:r>
          </w:p>
        </w:tc>
      </w:tr>
      <w:tr w14:paraId="589D698D">
        <w:tblPrEx>
          <w:tblCellMar>
            <w:top w:w="0" w:type="dxa"/>
            <w:left w:w="108" w:type="dxa"/>
            <w:bottom w:w="0" w:type="dxa"/>
            <w:right w:w="108" w:type="dxa"/>
          </w:tblCellMar>
        </w:tblPrEx>
        <w:trPr>
          <w:trHeight w:val="485" w:hRule="atLeast"/>
        </w:trPr>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D5106">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1-2</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35201">
            <w:pPr>
              <w:widowControl/>
              <w:spacing w:line="360" w:lineRule="auto"/>
              <w:jc w:val="left"/>
              <w:textAlignment w:val="center"/>
              <w:rPr>
                <w:rFonts w:ascii="宋体" w:hAnsi="宋体" w:cs="宋体"/>
                <w:color w:val="auto"/>
                <w:sz w:val="24"/>
                <w:szCs w:val="24"/>
                <w:highlight w:val="none"/>
              </w:rPr>
            </w:pPr>
            <w:r>
              <w:rPr>
                <w:rFonts w:ascii="宋体" w:hAnsi="宋体" w:cs="宋体"/>
                <w:color w:val="auto"/>
                <w:kern w:val="0"/>
                <w:sz w:val="24"/>
                <w:szCs w:val="24"/>
                <w:highlight w:val="none"/>
              </w:rPr>
              <w:t>A4彩色多功能喷墨打印机（基础）</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ADB6">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最大输出幅面≥</w:t>
            </w:r>
            <w:r>
              <w:rPr>
                <w:rFonts w:ascii="宋体" w:hAnsi="宋体" w:cs="宋体"/>
                <w:color w:val="auto"/>
                <w:kern w:val="0"/>
                <w:sz w:val="24"/>
                <w:szCs w:val="24"/>
                <w:highlight w:val="none"/>
              </w:rPr>
              <w:t>A4</w:t>
            </w:r>
          </w:p>
        </w:tc>
      </w:tr>
      <w:tr w14:paraId="7DB62139">
        <w:tblPrEx>
          <w:tblCellMar>
            <w:top w:w="0" w:type="dxa"/>
            <w:left w:w="108" w:type="dxa"/>
            <w:bottom w:w="0" w:type="dxa"/>
            <w:right w:w="108" w:type="dxa"/>
          </w:tblCellMar>
        </w:tblPrEx>
        <w:trPr>
          <w:trHeight w:val="1495"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34E7">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682BA">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3FB58">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*打印速度：黑白≥10页每分钟（iPM</w:t>
            </w:r>
            <w:r>
              <w:rPr>
                <w:rFonts w:hint="eastAsia" w:ascii="宋体" w:hAnsi="宋体" w:cs="宋体"/>
                <w:b/>
                <w:color w:val="auto"/>
                <w:kern w:val="0"/>
                <w:sz w:val="24"/>
                <w:szCs w:val="24"/>
                <w:highlight w:val="none"/>
              </w:rPr>
              <w:t>），彩色≥</w:t>
            </w:r>
            <w:r>
              <w:rPr>
                <w:rFonts w:ascii="宋体" w:hAnsi="宋体" w:cs="宋体"/>
                <w:b/>
                <w:color w:val="auto"/>
                <w:kern w:val="0"/>
                <w:sz w:val="24"/>
                <w:szCs w:val="24"/>
                <w:highlight w:val="none"/>
              </w:rPr>
              <w:t>5页每分钟（iPM</w:t>
            </w:r>
            <w:r>
              <w:rPr>
                <w:rFonts w:hint="eastAsia" w:ascii="宋体" w:hAnsi="宋体" w:cs="宋体"/>
                <w:b/>
                <w:color w:val="auto"/>
                <w:kern w:val="0"/>
                <w:sz w:val="24"/>
                <w:szCs w:val="24"/>
                <w:highlight w:val="none"/>
              </w:rPr>
              <w:t>）；标配</w:t>
            </w:r>
            <w:r>
              <w:rPr>
                <w:rFonts w:ascii="宋体" w:hAnsi="宋体" w:cs="宋体"/>
                <w:b/>
                <w:color w:val="auto"/>
                <w:kern w:val="0"/>
                <w:sz w:val="24"/>
                <w:szCs w:val="24"/>
                <w:highlight w:val="none"/>
              </w:rPr>
              <w:t>USB2.0接口；配备USB数据线；</w:t>
            </w:r>
            <w:r>
              <w:rPr>
                <w:rFonts w:hint="eastAsia" w:ascii="宋体" w:hAnsi="宋体" w:cs="宋体"/>
                <w:b/>
                <w:color w:val="auto"/>
                <w:kern w:val="0"/>
                <w:sz w:val="24"/>
                <w:szCs w:val="24"/>
                <w:highlight w:val="none"/>
              </w:rPr>
              <w:t>标配复印扫描功能；标配无线网络打印功能；配套的单套墨盒打印量黑色</w:t>
            </w:r>
            <w:r>
              <w:rPr>
                <w:rFonts w:ascii="宋体" w:hAnsi="宋体" w:cs="宋体"/>
                <w:b/>
                <w:color w:val="auto"/>
                <w:kern w:val="0"/>
                <w:sz w:val="24"/>
                <w:szCs w:val="24"/>
                <w:highlight w:val="none"/>
              </w:rPr>
              <w:t>+彩色打印量</w:t>
            </w:r>
            <w:r>
              <w:rPr>
                <w:rFonts w:hint="eastAsia" w:ascii="宋体" w:hAnsi="宋体" w:cs="宋体"/>
                <w:b/>
                <w:color w:val="auto"/>
                <w:kern w:val="0"/>
                <w:sz w:val="24"/>
                <w:szCs w:val="24"/>
                <w:highlight w:val="none"/>
              </w:rPr>
              <w:t>大于等于</w:t>
            </w:r>
            <w:r>
              <w:rPr>
                <w:rFonts w:ascii="宋体" w:hAnsi="宋体" w:cs="宋体"/>
                <w:b/>
                <w:color w:val="auto"/>
                <w:kern w:val="0"/>
                <w:sz w:val="24"/>
                <w:szCs w:val="24"/>
                <w:highlight w:val="none"/>
              </w:rPr>
              <w:t>12000页</w:t>
            </w:r>
          </w:p>
        </w:tc>
      </w:tr>
      <w:tr w14:paraId="40A96DE0">
        <w:tblPrEx>
          <w:tblCellMar>
            <w:top w:w="0" w:type="dxa"/>
            <w:left w:w="108" w:type="dxa"/>
            <w:bottom w:w="0" w:type="dxa"/>
            <w:right w:w="108" w:type="dxa"/>
          </w:tblCellMar>
        </w:tblPrEx>
        <w:trPr>
          <w:trHeight w:val="756"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DA60">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71D98">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EB20">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耗材色彩：</w:t>
            </w:r>
            <w:r>
              <w:rPr>
                <w:rFonts w:ascii="宋体" w:hAnsi="宋体" w:cs="宋体"/>
                <w:color w:val="auto"/>
                <w:kern w:val="0"/>
                <w:sz w:val="24"/>
                <w:szCs w:val="24"/>
                <w:highlight w:val="none"/>
              </w:rPr>
              <w:t>4色及以上</w:t>
            </w:r>
          </w:p>
        </w:tc>
      </w:tr>
      <w:tr w14:paraId="5EF310A1">
        <w:tblPrEx>
          <w:tblCellMar>
            <w:top w:w="0" w:type="dxa"/>
            <w:left w:w="108" w:type="dxa"/>
            <w:bottom w:w="0" w:type="dxa"/>
            <w:right w:w="108" w:type="dxa"/>
          </w:tblCellMar>
        </w:tblPrEx>
        <w:trPr>
          <w:trHeight w:val="559" w:hRule="atLeast"/>
        </w:trPr>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E3CE3">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1-3</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64E6C">
            <w:pPr>
              <w:widowControl/>
              <w:spacing w:line="360" w:lineRule="auto"/>
              <w:jc w:val="left"/>
              <w:textAlignment w:val="center"/>
              <w:rPr>
                <w:rFonts w:ascii="宋体" w:hAnsi="宋体" w:cs="宋体"/>
                <w:color w:val="auto"/>
                <w:sz w:val="24"/>
                <w:szCs w:val="24"/>
                <w:highlight w:val="none"/>
              </w:rPr>
            </w:pPr>
            <w:r>
              <w:rPr>
                <w:rFonts w:ascii="宋体" w:hAnsi="宋体" w:cs="宋体"/>
                <w:color w:val="auto"/>
                <w:kern w:val="0"/>
                <w:sz w:val="24"/>
                <w:szCs w:val="24"/>
                <w:highlight w:val="none"/>
              </w:rPr>
              <w:t>A4彩色多功能喷墨打印机（高端）</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47BC">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最大输出幅面≥</w:t>
            </w:r>
            <w:r>
              <w:rPr>
                <w:rFonts w:ascii="宋体" w:hAnsi="宋体" w:cs="宋体"/>
                <w:color w:val="auto"/>
                <w:kern w:val="0"/>
                <w:sz w:val="24"/>
                <w:szCs w:val="24"/>
                <w:highlight w:val="none"/>
              </w:rPr>
              <w:t>A4</w:t>
            </w:r>
          </w:p>
        </w:tc>
      </w:tr>
      <w:tr w14:paraId="11B5CC30">
        <w:tblPrEx>
          <w:tblCellMar>
            <w:top w:w="0" w:type="dxa"/>
            <w:left w:w="108" w:type="dxa"/>
            <w:bottom w:w="0" w:type="dxa"/>
            <w:right w:w="108" w:type="dxa"/>
          </w:tblCellMar>
        </w:tblPrEx>
        <w:trPr>
          <w:trHeight w:val="1405"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260E">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A1DD7">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0D7D">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*打印速度：黑白≥</w:t>
            </w:r>
            <w:r>
              <w:rPr>
                <w:rFonts w:hint="eastAsia" w:ascii="宋体" w:hAnsi="宋体" w:cs="宋体"/>
                <w:b/>
                <w:color w:val="auto"/>
                <w:kern w:val="0"/>
                <w:sz w:val="24"/>
                <w:szCs w:val="24"/>
                <w:highlight w:val="none"/>
              </w:rPr>
              <w:t>10</w:t>
            </w:r>
            <w:r>
              <w:rPr>
                <w:rFonts w:ascii="宋体" w:hAnsi="宋体" w:cs="宋体"/>
                <w:b/>
                <w:color w:val="auto"/>
                <w:kern w:val="0"/>
                <w:sz w:val="24"/>
                <w:szCs w:val="24"/>
                <w:highlight w:val="none"/>
              </w:rPr>
              <w:t>页每分钟（iPM</w:t>
            </w:r>
            <w:r>
              <w:rPr>
                <w:rFonts w:hint="eastAsia" w:ascii="宋体" w:hAnsi="宋体" w:cs="宋体"/>
                <w:b/>
                <w:color w:val="auto"/>
                <w:kern w:val="0"/>
                <w:sz w:val="24"/>
                <w:szCs w:val="24"/>
                <w:highlight w:val="none"/>
              </w:rPr>
              <w:t>），彩色≥5</w:t>
            </w:r>
            <w:r>
              <w:rPr>
                <w:rFonts w:ascii="宋体" w:hAnsi="宋体" w:cs="宋体"/>
                <w:b/>
                <w:color w:val="auto"/>
                <w:kern w:val="0"/>
                <w:sz w:val="24"/>
                <w:szCs w:val="24"/>
                <w:highlight w:val="none"/>
              </w:rPr>
              <w:t>页每分钟（iPM</w:t>
            </w:r>
            <w:r>
              <w:rPr>
                <w:rFonts w:hint="eastAsia" w:ascii="宋体" w:hAnsi="宋体" w:cs="宋体"/>
                <w:b/>
                <w:color w:val="auto"/>
                <w:kern w:val="0"/>
                <w:sz w:val="24"/>
                <w:szCs w:val="24"/>
                <w:highlight w:val="none"/>
              </w:rPr>
              <w:t>）；标配</w:t>
            </w:r>
            <w:r>
              <w:rPr>
                <w:rFonts w:ascii="宋体" w:hAnsi="宋体" w:cs="宋体"/>
                <w:b/>
                <w:color w:val="auto"/>
                <w:kern w:val="0"/>
                <w:sz w:val="24"/>
                <w:szCs w:val="24"/>
                <w:highlight w:val="none"/>
              </w:rPr>
              <w:t>USB2.0接口；配备USB数据线；</w:t>
            </w:r>
            <w:r>
              <w:rPr>
                <w:rFonts w:hint="eastAsia" w:ascii="宋体" w:hAnsi="宋体" w:cs="宋体"/>
                <w:b/>
                <w:color w:val="auto"/>
                <w:kern w:val="0"/>
                <w:sz w:val="24"/>
                <w:szCs w:val="24"/>
                <w:highlight w:val="none"/>
              </w:rPr>
              <w:t>标配有线网络打印功能；标配无线网络打印功能；标配复印扫描传真功能；标配自动双面打印功能</w:t>
            </w:r>
          </w:p>
        </w:tc>
      </w:tr>
      <w:tr w14:paraId="3F56A6EA">
        <w:tblPrEx>
          <w:tblCellMar>
            <w:top w:w="0" w:type="dxa"/>
            <w:left w:w="108" w:type="dxa"/>
            <w:bottom w:w="0" w:type="dxa"/>
            <w:right w:w="108" w:type="dxa"/>
          </w:tblCellMar>
        </w:tblPrEx>
        <w:trPr>
          <w:trHeight w:val="502"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71E6A">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71A3B">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EF03">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耗材色彩：</w:t>
            </w:r>
            <w:r>
              <w:rPr>
                <w:rFonts w:ascii="宋体" w:hAnsi="宋体" w:cs="宋体"/>
                <w:color w:val="auto"/>
                <w:kern w:val="0"/>
                <w:sz w:val="24"/>
                <w:szCs w:val="24"/>
                <w:highlight w:val="none"/>
              </w:rPr>
              <w:t>4色及以上</w:t>
            </w:r>
          </w:p>
        </w:tc>
      </w:tr>
      <w:tr w14:paraId="7BC277E8">
        <w:tblPrEx>
          <w:tblCellMar>
            <w:top w:w="0" w:type="dxa"/>
            <w:left w:w="108" w:type="dxa"/>
            <w:bottom w:w="0" w:type="dxa"/>
            <w:right w:w="108" w:type="dxa"/>
          </w:tblCellMar>
        </w:tblPrEx>
        <w:trPr>
          <w:trHeight w:val="702" w:hRule="atLeast"/>
        </w:trPr>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3BCA">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1-4</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DA59D">
            <w:pPr>
              <w:widowControl/>
              <w:spacing w:line="360" w:lineRule="auto"/>
              <w:jc w:val="left"/>
              <w:textAlignment w:val="center"/>
              <w:rPr>
                <w:rFonts w:ascii="宋体" w:hAnsi="宋体" w:cs="宋体"/>
                <w:color w:val="auto"/>
                <w:sz w:val="24"/>
                <w:szCs w:val="24"/>
                <w:highlight w:val="none"/>
              </w:rPr>
            </w:pPr>
            <w:r>
              <w:rPr>
                <w:rFonts w:ascii="宋体" w:hAnsi="宋体" w:cs="宋体"/>
                <w:color w:val="auto"/>
                <w:kern w:val="0"/>
                <w:sz w:val="24"/>
                <w:szCs w:val="24"/>
                <w:highlight w:val="none"/>
              </w:rPr>
              <w:t>A4彩色单功能便携式</w:t>
            </w:r>
            <w:r>
              <w:rPr>
                <w:rFonts w:hint="eastAsia" w:ascii="宋体" w:hAnsi="宋体" w:cs="宋体"/>
                <w:color w:val="auto"/>
                <w:kern w:val="0"/>
                <w:sz w:val="24"/>
                <w:szCs w:val="24"/>
                <w:highlight w:val="none"/>
              </w:rPr>
              <w:t>喷墨打印机</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D2A9">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最大输出幅面≥</w:t>
            </w:r>
            <w:r>
              <w:rPr>
                <w:rFonts w:ascii="宋体" w:hAnsi="宋体" w:cs="宋体"/>
                <w:color w:val="auto"/>
                <w:kern w:val="0"/>
                <w:sz w:val="24"/>
                <w:szCs w:val="24"/>
                <w:highlight w:val="none"/>
              </w:rPr>
              <w:t>A4</w:t>
            </w:r>
          </w:p>
        </w:tc>
      </w:tr>
      <w:tr w14:paraId="67C3A9C1">
        <w:tblPrEx>
          <w:tblCellMar>
            <w:top w:w="0" w:type="dxa"/>
            <w:left w:w="108" w:type="dxa"/>
            <w:bottom w:w="0" w:type="dxa"/>
            <w:right w:w="108" w:type="dxa"/>
          </w:tblCellMar>
        </w:tblPrEx>
        <w:trPr>
          <w:trHeight w:val="1093"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E5D3">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ABBA3">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355E">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*打印速度：黑白≥7页每分钟（iPM</w:t>
            </w:r>
            <w:r>
              <w:rPr>
                <w:rFonts w:hint="eastAsia" w:ascii="宋体" w:hAnsi="宋体" w:cs="宋体"/>
                <w:b/>
                <w:color w:val="auto"/>
                <w:kern w:val="0"/>
                <w:sz w:val="24"/>
                <w:szCs w:val="24"/>
                <w:highlight w:val="none"/>
              </w:rPr>
              <w:t>），彩色≥</w:t>
            </w:r>
            <w:r>
              <w:rPr>
                <w:rFonts w:ascii="宋体" w:hAnsi="宋体" w:cs="宋体"/>
                <w:b/>
                <w:color w:val="auto"/>
                <w:kern w:val="0"/>
                <w:sz w:val="24"/>
                <w:szCs w:val="24"/>
                <w:highlight w:val="none"/>
              </w:rPr>
              <w:t>4页每分钟（iPM</w:t>
            </w:r>
            <w:r>
              <w:rPr>
                <w:rFonts w:hint="eastAsia" w:ascii="宋体" w:hAnsi="宋体" w:cs="宋体"/>
                <w:b/>
                <w:color w:val="auto"/>
                <w:kern w:val="0"/>
                <w:sz w:val="24"/>
                <w:szCs w:val="24"/>
                <w:highlight w:val="none"/>
              </w:rPr>
              <w:t>）；标配</w:t>
            </w:r>
            <w:r>
              <w:rPr>
                <w:rFonts w:ascii="宋体" w:hAnsi="宋体" w:cs="宋体"/>
                <w:b/>
                <w:color w:val="auto"/>
                <w:kern w:val="0"/>
                <w:sz w:val="24"/>
                <w:szCs w:val="24"/>
                <w:highlight w:val="none"/>
              </w:rPr>
              <w:t>USB2.0接口；配备USB数据线；</w:t>
            </w:r>
            <w:r>
              <w:rPr>
                <w:rFonts w:hint="eastAsia" w:ascii="宋体" w:hAnsi="宋体" w:cs="宋体"/>
                <w:b/>
                <w:color w:val="auto"/>
                <w:kern w:val="0"/>
                <w:sz w:val="24"/>
                <w:szCs w:val="24"/>
                <w:highlight w:val="none"/>
              </w:rPr>
              <w:t>标配无线网络打印功能；标配电池</w:t>
            </w:r>
          </w:p>
        </w:tc>
      </w:tr>
      <w:tr w14:paraId="3F335572">
        <w:tblPrEx>
          <w:tblCellMar>
            <w:top w:w="0" w:type="dxa"/>
            <w:left w:w="108" w:type="dxa"/>
            <w:bottom w:w="0" w:type="dxa"/>
            <w:right w:w="108" w:type="dxa"/>
          </w:tblCellMar>
        </w:tblPrEx>
        <w:trPr>
          <w:trHeight w:val="708"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3D35">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FCADD">
            <w:pPr>
              <w:spacing w:line="360" w:lineRule="auto"/>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AB0D">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耗材色彩：</w:t>
            </w:r>
            <w:r>
              <w:rPr>
                <w:rFonts w:ascii="宋体" w:hAnsi="宋体" w:cs="宋体"/>
                <w:color w:val="auto"/>
                <w:kern w:val="0"/>
                <w:sz w:val="24"/>
                <w:szCs w:val="24"/>
                <w:highlight w:val="none"/>
              </w:rPr>
              <w:t>4色及以上</w:t>
            </w:r>
          </w:p>
        </w:tc>
      </w:tr>
      <w:tr w14:paraId="3FD9CD2E">
        <w:tblPrEx>
          <w:tblCellMar>
            <w:top w:w="0" w:type="dxa"/>
            <w:left w:w="108" w:type="dxa"/>
            <w:bottom w:w="0" w:type="dxa"/>
            <w:right w:w="108" w:type="dxa"/>
          </w:tblCellMar>
        </w:tblPrEx>
        <w:trPr>
          <w:trHeight w:val="536" w:hRule="atLeast"/>
        </w:trPr>
        <w:tc>
          <w:tcPr>
            <w:tcW w:w="12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C12F">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1-5</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97D80">
            <w:pPr>
              <w:widowControl/>
              <w:spacing w:line="360" w:lineRule="auto"/>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rPr>
              <w:t>A3彩色单功能</w:t>
            </w:r>
            <w:r>
              <w:rPr>
                <w:rFonts w:hint="eastAsia" w:ascii="宋体" w:hAnsi="宋体" w:cs="宋体"/>
                <w:color w:val="auto"/>
                <w:kern w:val="0"/>
                <w:sz w:val="24"/>
                <w:szCs w:val="24"/>
                <w:highlight w:val="none"/>
              </w:rPr>
              <w:t>打印机</w:t>
            </w: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C879">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w:t>
            </w:r>
            <w:r>
              <w:rPr>
                <w:rFonts w:hint="eastAsia" w:ascii="宋体" w:hAnsi="宋体" w:cs="宋体"/>
                <w:b/>
                <w:color w:val="auto"/>
                <w:kern w:val="0"/>
                <w:sz w:val="24"/>
                <w:szCs w:val="24"/>
                <w:highlight w:val="none"/>
              </w:rPr>
              <w:t>最大输出幅面≥</w:t>
            </w:r>
            <w:r>
              <w:rPr>
                <w:rFonts w:ascii="宋体" w:hAnsi="宋体" w:cs="宋体"/>
                <w:b/>
                <w:color w:val="auto"/>
                <w:kern w:val="0"/>
                <w:sz w:val="24"/>
                <w:szCs w:val="24"/>
                <w:highlight w:val="none"/>
              </w:rPr>
              <w:t>A3</w:t>
            </w:r>
          </w:p>
        </w:tc>
      </w:tr>
      <w:tr w14:paraId="0BAED8C6">
        <w:tblPrEx>
          <w:tblCellMar>
            <w:top w:w="0" w:type="dxa"/>
            <w:left w:w="108" w:type="dxa"/>
            <w:bottom w:w="0" w:type="dxa"/>
            <w:right w:w="108" w:type="dxa"/>
          </w:tblCellMar>
        </w:tblPrEx>
        <w:trPr>
          <w:trHeight w:val="864"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B391D">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4DFB">
            <w:pPr>
              <w:spacing w:line="360" w:lineRule="auto"/>
              <w:jc w:val="center"/>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139D7">
            <w:pPr>
              <w:widowControl/>
              <w:spacing w:line="360" w:lineRule="auto"/>
              <w:jc w:val="left"/>
              <w:textAlignment w:val="center"/>
              <w:rPr>
                <w:rFonts w:ascii="宋体" w:hAnsi="宋体" w:cs="宋体"/>
                <w:b/>
                <w:color w:val="auto"/>
                <w:sz w:val="24"/>
                <w:szCs w:val="24"/>
                <w:highlight w:val="none"/>
              </w:rPr>
            </w:pPr>
            <w:r>
              <w:rPr>
                <w:rFonts w:ascii="宋体" w:hAnsi="宋体" w:cs="宋体"/>
                <w:b/>
                <w:color w:val="auto"/>
                <w:kern w:val="0"/>
                <w:sz w:val="24"/>
                <w:szCs w:val="24"/>
                <w:highlight w:val="none"/>
              </w:rPr>
              <w:t>*打印速度：黑白≥14页每分钟（iPM</w:t>
            </w:r>
            <w:r>
              <w:rPr>
                <w:rFonts w:hint="eastAsia" w:ascii="宋体" w:hAnsi="宋体" w:cs="宋体"/>
                <w:b/>
                <w:color w:val="auto"/>
                <w:kern w:val="0"/>
                <w:sz w:val="24"/>
                <w:szCs w:val="24"/>
                <w:highlight w:val="none"/>
              </w:rPr>
              <w:t>），彩色≥</w:t>
            </w:r>
            <w:r>
              <w:rPr>
                <w:rFonts w:ascii="宋体" w:hAnsi="宋体" w:cs="宋体"/>
                <w:b/>
                <w:color w:val="auto"/>
                <w:kern w:val="0"/>
                <w:sz w:val="24"/>
                <w:szCs w:val="24"/>
                <w:highlight w:val="none"/>
              </w:rPr>
              <w:t>10页每分钟（iPM</w:t>
            </w:r>
            <w:r>
              <w:rPr>
                <w:rFonts w:hint="eastAsia" w:ascii="宋体" w:hAnsi="宋体" w:cs="宋体"/>
                <w:b/>
                <w:color w:val="auto"/>
                <w:kern w:val="0"/>
                <w:sz w:val="24"/>
                <w:szCs w:val="24"/>
                <w:highlight w:val="none"/>
              </w:rPr>
              <w:t>）；标配</w:t>
            </w:r>
            <w:r>
              <w:rPr>
                <w:rFonts w:ascii="宋体" w:hAnsi="宋体" w:cs="宋体"/>
                <w:b/>
                <w:color w:val="auto"/>
                <w:kern w:val="0"/>
                <w:sz w:val="24"/>
                <w:szCs w:val="24"/>
                <w:highlight w:val="none"/>
              </w:rPr>
              <w:t>USB2.0接口；配备USB数据线；</w:t>
            </w:r>
            <w:r>
              <w:rPr>
                <w:rFonts w:hint="eastAsia" w:ascii="宋体" w:hAnsi="宋体" w:cs="宋体"/>
                <w:b/>
                <w:color w:val="auto"/>
                <w:kern w:val="0"/>
                <w:sz w:val="24"/>
                <w:szCs w:val="24"/>
                <w:highlight w:val="none"/>
              </w:rPr>
              <w:t>标配无线网络打印功能</w:t>
            </w:r>
          </w:p>
        </w:tc>
      </w:tr>
      <w:tr w14:paraId="51939366">
        <w:tblPrEx>
          <w:tblCellMar>
            <w:top w:w="0" w:type="dxa"/>
            <w:left w:w="108" w:type="dxa"/>
            <w:bottom w:w="0" w:type="dxa"/>
            <w:right w:w="108" w:type="dxa"/>
          </w:tblCellMar>
        </w:tblPrEx>
        <w:trPr>
          <w:trHeight w:val="628" w:hRule="atLeast"/>
        </w:trPr>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5EA8">
            <w:pPr>
              <w:spacing w:line="360" w:lineRule="auto"/>
              <w:jc w:val="center"/>
              <w:rPr>
                <w:rFonts w:ascii="宋体" w:hAnsi="宋体" w:cs="宋体"/>
                <w:color w:val="auto"/>
                <w:sz w:val="24"/>
                <w:szCs w:val="24"/>
                <w:highlight w:val="none"/>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83BF">
            <w:pPr>
              <w:spacing w:line="360" w:lineRule="auto"/>
              <w:jc w:val="center"/>
              <w:rPr>
                <w:rFonts w:ascii="宋体" w:hAnsi="宋体" w:cs="宋体"/>
                <w:color w:val="auto"/>
                <w:sz w:val="24"/>
                <w:szCs w:val="24"/>
                <w:highlight w:val="none"/>
              </w:rPr>
            </w:pPr>
          </w:p>
        </w:tc>
        <w:tc>
          <w:tcPr>
            <w:tcW w:w="6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96EC">
            <w:pPr>
              <w:widowControl/>
              <w:spacing w:line="360" w:lineRule="auto"/>
              <w:jc w:val="left"/>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rPr>
              <w:t>耗材色彩：</w:t>
            </w:r>
            <w:r>
              <w:rPr>
                <w:rFonts w:ascii="宋体" w:hAnsi="宋体" w:cs="宋体"/>
                <w:color w:val="auto"/>
                <w:kern w:val="0"/>
                <w:sz w:val="24"/>
                <w:szCs w:val="24"/>
                <w:highlight w:val="none"/>
              </w:rPr>
              <w:t>4色及以上</w:t>
            </w:r>
          </w:p>
        </w:tc>
      </w:tr>
    </w:tbl>
    <w:p w14:paraId="6C82BCE6">
      <w:pPr>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*1、投标人投标的喷墨打印机产品必须为同一品牌产品，否则将导致投标无效。</w:t>
      </w:r>
    </w:p>
    <w:p w14:paraId="39C4E47F">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投标人须在投标文件中作出明确承诺：采购单位可调整各规格产品的实际供货数量；采购单位有权向厦门市政府机关事业单位和福建省内其他终端用户进行供货。投标人承诺合同期内采购单位可增加或者减少各型号的采购数量，仍按不高于成交价格执行。</w:t>
      </w:r>
    </w:p>
    <w:p w14:paraId="305A2874">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*3、针对本项目招标文件中第二章中的“技术”条款及第三章中“主要技术参数”的*号技术参数，投标人需提供：加盖投标人公章的产品彩页复印件。</w:t>
      </w:r>
    </w:p>
    <w:p w14:paraId="446EF5FF">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*4、投标人若在投标文件中提供相关投标产品检验（检测）报告的，需提供：加盖投标人公章的检验（检测）报告复印件。</w:t>
      </w:r>
    </w:p>
    <w:p w14:paraId="7BDD108C">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*5、投标人若在投标文件中提供相关投标产品检验（检测）报告的，投标人应在投标文件中提供书面承诺：</w:t>
      </w:r>
    </w:p>
    <w:p w14:paraId="57D943A7">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（1）相关技术参数以检验（检测）报告中的“技术要求”为准且满足测试结果判定为符合要求的作为本项目的评价依据，测试结果的具体指标不作为本采购项目的评价依据。</w:t>
      </w:r>
    </w:p>
    <w:p w14:paraId="39C78689">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2）检验（检测）报告复印件上体现的检验（检测）机构名称及资质证书号必须与出具该检验（检测）报告机构在“中国国家认证认可监督管理委员会”获准资质认定的网页截图的检验（检测）机构名称及资质证书号信息一致[检验（检测）机构名称及资质证书号任何一项未体现的情形视为不一致，不一致的视为无效投标。</w:t>
      </w:r>
    </w:p>
    <w:p w14:paraId="385EED95">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（3）检验（检测）报告的委托或送检单位必须为所投标品牌的制造商或制造商的关联企业。</w:t>
      </w:r>
    </w:p>
    <w:p w14:paraId="54D4757F">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（4）检验（检测）机构必须为国家级，属“中国国家认证认可监督管理委员会”获准资质认定机构范围内且检验（检测）机构的资质证书号及资质状态的生效日期必须在本项目投标截止时间前。</w:t>
      </w:r>
    </w:p>
    <w:p w14:paraId="65B44122">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（5）在本项目投标截止时间起在“中国国家认证认可监督管理委员会”网站（http://www.cnca.gov.cn/）可查询到相关检验（检测）机构的资质证书号及资质状态。</w:t>
      </w:r>
    </w:p>
    <w:p w14:paraId="7B4A1005">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6、投标人若在投标文件中提供相关检验（检测）报告的，开标时间起90个日历日内若中标供应商出现投标型号的检验（检测）报告所对应的检验（检测）机构的资质证书号及资质状态与“中国国家认证认可监督管理委员会”网站（http://www.cnca.gov.cn/）体现该检验（检测）机构对应资质证书号及资质状态的网页信息不一致的视为虚假应标。若本项目采购合同已签订的，在合同签订后的60个日历日内，采购单位有权单方面解除合同，没收全部履约保证金并且有权与第二位成交候选供应商签订合同，同时接受采购单位拒绝中标供应商参与下一年度大宗喷墨打印机项目的投标。投标人应对此条款无异议并在投标文件中提供书面承诺。</w:t>
      </w:r>
    </w:p>
    <w:p w14:paraId="721240C5">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*7、投标人应在投标文件中提供书面承诺：</w:t>
      </w:r>
    </w:p>
    <w:p w14:paraId="5375DDC2">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针对本项目招标文件中第二章中的“技术”条款及第三章中“主要技术参数”部分，根据投标人所提供的：①投标产品的检验（检测）报告；②投标品牌市面流通的同一品牌同一型号产品设备（该产品设备可由采购单位从市场上自行购买）内附说明书或光盘信息；③本项目的投标响应文件。若上述材料或文件出现技术参数不一致的，投标人接受以如下参数选择作为评价依据：</w:t>
      </w:r>
    </w:p>
    <w:p w14:paraId="6C43F481">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bCs/>
          <w:color w:val="auto"/>
          <w:kern w:val="0"/>
          <w:sz w:val="24"/>
          <w:szCs w:val="24"/>
          <w:highlight w:val="none"/>
        </w:rPr>
        <w:t>一套标准容量墨盒总打印量</w:t>
      </w:r>
      <w:r>
        <w:rPr>
          <w:rFonts w:hint="eastAsia" w:ascii="宋体" w:hAnsi="宋体" w:cs="宋体"/>
          <w:b/>
          <w:color w:val="auto"/>
          <w:sz w:val="24"/>
          <w:szCs w:val="24"/>
          <w:highlight w:val="none"/>
        </w:rPr>
        <w:t>: 取最小值</w:t>
      </w:r>
    </w:p>
    <w:p w14:paraId="74CBADD6">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kern w:val="0"/>
          <w:sz w:val="24"/>
          <w:szCs w:val="24"/>
          <w:highlight w:val="none"/>
        </w:rPr>
        <w:t>打印速度（标准模式）</w:t>
      </w:r>
      <w:r>
        <w:rPr>
          <w:rFonts w:hint="eastAsia" w:ascii="宋体" w:hAnsi="宋体" w:cs="宋体"/>
          <w:b/>
          <w:bCs/>
          <w:color w:val="auto"/>
          <w:sz w:val="24"/>
          <w:szCs w:val="24"/>
          <w:highlight w:val="none"/>
        </w:rPr>
        <w:t>：取最小值</w:t>
      </w:r>
    </w:p>
    <w:p w14:paraId="0DC891A4">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color w:val="auto"/>
          <w:kern w:val="0"/>
          <w:sz w:val="24"/>
          <w:szCs w:val="24"/>
          <w:highlight w:val="none"/>
        </w:rPr>
        <w:t>进纸盒/进纸托盘容量（A4普通纸）</w:t>
      </w:r>
      <w:r>
        <w:rPr>
          <w:rFonts w:hint="eastAsia" w:ascii="宋体" w:hAnsi="宋体" w:cs="宋体"/>
          <w:b/>
          <w:bCs/>
          <w:color w:val="auto"/>
          <w:sz w:val="24"/>
          <w:szCs w:val="24"/>
          <w:highlight w:val="none"/>
        </w:rPr>
        <w:t>：取最小值</w:t>
      </w:r>
    </w:p>
    <w:p w14:paraId="7A1455E2">
      <w:pPr>
        <w:shd w:val="clear" w:color="auto" w:fill="FFFFFF"/>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最高打印分辨率：取最小值</w:t>
      </w:r>
    </w:p>
    <w:p w14:paraId="4D233547">
      <w:pPr>
        <w:adjustRightInd w:val="0"/>
        <w:snapToGrid w:val="0"/>
        <w:spacing w:line="360" w:lineRule="auto"/>
        <w:jc w:val="left"/>
        <w:rPr>
          <w:rFonts w:ascii="宋体" w:hAnsiTheme="minorHAnsi" w:cstheme="minorBidi"/>
          <w:b/>
          <w:color w:val="auto"/>
          <w:sz w:val="28"/>
          <w:szCs w:val="28"/>
          <w:highlight w:val="none"/>
        </w:rPr>
      </w:pPr>
      <w:r>
        <w:rPr>
          <w:rFonts w:hint="eastAsia" w:ascii="宋体" w:hAnsi="宋体"/>
          <w:b/>
          <w:color w:val="auto"/>
          <w:sz w:val="28"/>
          <w:szCs w:val="28"/>
          <w:highlight w:val="none"/>
        </w:rPr>
        <w:t>二、技术商务响应要求</w:t>
      </w:r>
    </w:p>
    <w:p w14:paraId="7ECA8C05">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1、投标人需提供企业供货、履约能力基本情况的说明。</w:t>
      </w:r>
    </w:p>
    <w:p w14:paraId="78931BB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2、投标人应具有良好的商业信誉和健全的财务会计制度，具有履行合同所必需的货物和专业技术能力，有依法缴纳税收和社会保障资金的良好记录。</w:t>
      </w:r>
    </w:p>
    <w:p w14:paraId="587B1B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3、投标人所投产品的制造厂商必须通过ISO9001质量体系认证及ISO14000环保体系认证。</w:t>
      </w:r>
    </w:p>
    <w:p w14:paraId="750D87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4、投标产品的制造厂商应在厦门设有常驻的维修保养机构，能保证定期对货物巡检；并在投标文件中详细介绍和提供维修保养机构的相关资料，如响应时间、维修保养机构的具体地点、联系电话、传真等。</w:t>
      </w:r>
    </w:p>
    <w:p w14:paraId="560230C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5、投标人应在投标文件中提供所投设备详细的配置、技术参数指标, 执行标准，文字资料、彩图或彩页, 注明投标货物的产地、品牌、规格型号以及相应的技术、性能等。</w:t>
      </w:r>
    </w:p>
    <w:p w14:paraId="1348264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6、投标人应提供能证明其货物制造商实力、货物品质的有关文件资料。</w:t>
      </w:r>
    </w:p>
    <w:p w14:paraId="0FA23D3B">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7、投标人应在投标文件中列表对招标文件第二章中的技术商务条款进行一对一的响应说明。</w:t>
      </w:r>
    </w:p>
    <w:p w14:paraId="685F853A">
      <w:pPr>
        <w:adjustRightInd w:val="0"/>
        <w:snapToGrid w:val="0"/>
        <w:spacing w:line="360" w:lineRule="auto"/>
        <w:jc w:val="left"/>
        <w:rPr>
          <w:rFonts w:ascii="宋体" w:hAnsiTheme="minorHAnsi" w:cstheme="minorBidi"/>
          <w:b/>
          <w:color w:val="auto"/>
          <w:sz w:val="28"/>
          <w:szCs w:val="28"/>
          <w:highlight w:val="none"/>
        </w:rPr>
      </w:pPr>
      <w:r>
        <w:rPr>
          <w:rFonts w:hint="eastAsia" w:ascii="宋体" w:hAnsi="宋体"/>
          <w:b/>
          <w:color w:val="auto"/>
          <w:sz w:val="28"/>
          <w:szCs w:val="28"/>
          <w:highlight w:val="none"/>
        </w:rPr>
        <w:t>三、资格证明文件</w:t>
      </w:r>
    </w:p>
    <w:p w14:paraId="00E91C14">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*1、投标人应提供法人营业执照副本复印件，提供组织机构代码证复印件。投标人已提供加载有统一社会信用代码营业执照的，视为已提供税务登记证和组织机构代码证。</w:t>
      </w:r>
    </w:p>
    <w:p w14:paraId="1F04E1A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*2、投标人全权代表若不是企业法定代表人，应提供法人授权书原件，并提供被授权代表身份证复印件。</w:t>
      </w:r>
    </w:p>
    <w:p w14:paraId="1D4E87D4">
      <w:pPr>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*3、投标人所提供的设备应符合国家强制性产品认证标准的要求，获得CCC认证证书，</w:t>
      </w:r>
      <w:r>
        <w:rPr>
          <w:rFonts w:hint="eastAsia" w:ascii="宋体" w:hAnsi="宋体" w:cs="宋体"/>
          <w:b/>
          <w:color w:val="auto"/>
          <w:sz w:val="24"/>
          <w:szCs w:val="24"/>
          <w:highlight w:val="none"/>
        </w:rPr>
        <w:t>并在投标文件中提供CCC认证证书的复印件。</w:t>
      </w:r>
    </w:p>
    <w:p w14:paraId="23855C99">
      <w:pPr>
        <w:adjustRightInd w:val="0"/>
        <w:snapToGrid w:val="0"/>
        <w:spacing w:line="360" w:lineRule="auto"/>
        <w:jc w:val="left"/>
        <w:rPr>
          <w:rFonts w:ascii="宋体" w:hAnsi="宋体" w:cstheme="minorBidi"/>
          <w:b/>
          <w:color w:val="auto"/>
          <w:sz w:val="28"/>
          <w:szCs w:val="28"/>
          <w:highlight w:val="none"/>
        </w:rPr>
      </w:pPr>
      <w:r>
        <w:rPr>
          <w:rFonts w:hint="eastAsia" w:ascii="宋体" w:hAnsi="宋体"/>
          <w:b/>
          <w:color w:val="auto"/>
          <w:sz w:val="28"/>
          <w:szCs w:val="28"/>
          <w:highlight w:val="none"/>
        </w:rPr>
        <w:t>四、验收条件及标准</w:t>
      </w:r>
    </w:p>
    <w:p w14:paraId="3153AB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1、投标人应提供产品的验收标准、安装及技术规范等有关资料，应符合产品制造厂商的产品出厂标准、国家标准以及招标文件规定的技术要求。</w:t>
      </w:r>
    </w:p>
    <w:p w14:paraId="68B7D00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2、验收依据：招标文件、投标文件、厂家货物技术标准说明及国家有关的质量标准规定，均为验收依据。</w:t>
      </w:r>
    </w:p>
    <w:p w14:paraId="554894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3、货物初验：货物运抵采购单位指定地点后由采购单位或使用单位对照采购清单对外观、包装及数量进行验收。</w:t>
      </w:r>
    </w:p>
    <w:p w14:paraId="315993B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最终验收：中标供应商根据招标要求进行设备安装、调试后，使用单位及中标供应商双方共同签署《厦门市政府采购验收报告》。若验收不合格，使用单位有权退货，重新供货导致的供货延迟，按逾期交货的违约责任处理。</w:t>
      </w:r>
    </w:p>
    <w:p w14:paraId="142F32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5、采购单位有权委托我国相关具有检验资质的部门、单位、机构针对成交货物的精度、性能进行检验。其检验结果将作为验收标准的组成部分之一。</w:t>
      </w:r>
    </w:p>
    <w:p w14:paraId="464D559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6、验收时中标供应商必须派代表参加。</w:t>
      </w:r>
    </w:p>
    <w:p w14:paraId="0D35D8A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7、投标人必须保证所供产品及服务在噪音、能效、废气排放等方面符合国家有关环保标准。</w:t>
      </w:r>
    </w:p>
    <w:p w14:paraId="34D93E7C">
      <w:pPr>
        <w:adjustRightInd w:val="0"/>
        <w:snapToGrid w:val="0"/>
        <w:spacing w:line="360" w:lineRule="auto"/>
        <w:jc w:val="left"/>
        <w:rPr>
          <w:rFonts w:ascii="宋体" w:hAnsi="宋体" w:cstheme="minorBidi"/>
          <w:b/>
          <w:color w:val="auto"/>
          <w:sz w:val="28"/>
          <w:szCs w:val="28"/>
          <w:highlight w:val="none"/>
        </w:rPr>
      </w:pPr>
      <w:r>
        <w:rPr>
          <w:rFonts w:hint="eastAsia" w:ascii="宋体" w:hAnsi="宋体"/>
          <w:b/>
          <w:color w:val="auto"/>
          <w:sz w:val="28"/>
          <w:szCs w:val="28"/>
          <w:highlight w:val="none"/>
        </w:rPr>
        <w:t>五、售后服务要求</w:t>
      </w:r>
    </w:p>
    <w:p w14:paraId="69DFB9C8">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*1、投标人承诺设备自最终验收合格之日起应当提供整机至少一年免费保修，同时保证保修年限不低于合同货物中品牌型号的官网标准。</w:t>
      </w:r>
    </w:p>
    <w:p w14:paraId="1807DD81">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*2、投标人应在投标文件中提供具体的售后服务承诺条款。</w:t>
      </w:r>
    </w:p>
    <w:p w14:paraId="719F591D">
      <w:pPr>
        <w:spacing w:line="360" w:lineRule="auto"/>
        <w:ind w:firstLine="480"/>
        <w:rPr>
          <w:rFonts w:ascii="宋体" w:hAnsi="宋体"/>
          <w:b/>
          <w:color w:val="auto"/>
          <w:sz w:val="24"/>
          <w:szCs w:val="24"/>
          <w:highlight w:val="none"/>
        </w:rPr>
      </w:pPr>
      <w:r>
        <w:rPr>
          <w:rFonts w:hint="eastAsia" w:ascii="宋体" w:hAnsi="宋体"/>
          <w:b/>
          <w:color w:val="auto"/>
          <w:sz w:val="24"/>
          <w:szCs w:val="24"/>
          <w:highlight w:val="none"/>
        </w:rPr>
        <w:t>*3、投标人须在投标文件中明确承诺：提供产品的安装费用和上门售后服务费用按以下收费标准执行。</w:t>
      </w:r>
    </w:p>
    <w:tbl>
      <w:tblPr>
        <w:tblStyle w:val="12"/>
        <w:tblW w:w="8300" w:type="dxa"/>
        <w:jc w:val="center"/>
        <w:tblLayout w:type="fixed"/>
        <w:tblCellMar>
          <w:top w:w="0" w:type="dxa"/>
          <w:left w:w="108" w:type="dxa"/>
          <w:bottom w:w="0" w:type="dxa"/>
          <w:right w:w="108" w:type="dxa"/>
        </w:tblCellMar>
      </w:tblPr>
      <w:tblGrid>
        <w:gridCol w:w="2126"/>
        <w:gridCol w:w="4979"/>
        <w:gridCol w:w="1195"/>
      </w:tblGrid>
      <w:tr w14:paraId="73065DC6">
        <w:tblPrEx>
          <w:tblCellMar>
            <w:top w:w="0" w:type="dxa"/>
            <w:left w:w="108" w:type="dxa"/>
            <w:bottom w:w="0" w:type="dxa"/>
            <w:right w:w="108" w:type="dxa"/>
          </w:tblCellMar>
        </w:tblPrEx>
        <w:trPr>
          <w:trHeight w:val="555"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530C44BE">
            <w:pPr>
              <w:shd w:val="clear" w:color="auto" w:fill="FFFFFF"/>
              <w:jc w:val="center"/>
              <w:rPr>
                <w:rFonts w:ascii="宋体" w:hAnsi="宋体" w:eastAsiaTheme="minorEastAsia" w:cstheme="minorBidi"/>
                <w:b/>
                <w:color w:val="auto"/>
                <w:szCs w:val="21"/>
                <w:highlight w:val="none"/>
              </w:rPr>
            </w:pPr>
            <w:r>
              <w:rPr>
                <w:rFonts w:hint="eastAsia" w:ascii="宋体" w:hAnsi="宋体"/>
                <w:b/>
                <w:color w:val="auto"/>
                <w:szCs w:val="21"/>
                <w:highlight w:val="none"/>
              </w:rPr>
              <w:t>费用名称</w:t>
            </w:r>
          </w:p>
        </w:tc>
        <w:tc>
          <w:tcPr>
            <w:tcW w:w="4977" w:type="dxa"/>
            <w:tcBorders>
              <w:top w:val="single" w:color="auto" w:sz="4" w:space="0"/>
              <w:left w:val="nil"/>
              <w:bottom w:val="single" w:color="auto" w:sz="4" w:space="0"/>
              <w:right w:val="single" w:color="auto" w:sz="4" w:space="0"/>
            </w:tcBorders>
            <w:vAlign w:val="center"/>
          </w:tcPr>
          <w:p w14:paraId="6B8AC9EB">
            <w:pPr>
              <w:shd w:val="clear" w:color="auto" w:fill="FFFFFF"/>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区域范围</w:t>
            </w:r>
          </w:p>
        </w:tc>
        <w:tc>
          <w:tcPr>
            <w:tcW w:w="1194" w:type="dxa"/>
            <w:tcBorders>
              <w:top w:val="single" w:color="auto" w:sz="4" w:space="0"/>
              <w:left w:val="nil"/>
              <w:bottom w:val="single" w:color="auto" w:sz="4" w:space="0"/>
              <w:right w:val="single" w:color="auto" w:sz="4" w:space="0"/>
            </w:tcBorders>
            <w:vAlign w:val="center"/>
          </w:tcPr>
          <w:p w14:paraId="23A05740">
            <w:pPr>
              <w:shd w:val="clear" w:color="auto" w:fill="FFFFFF"/>
              <w:jc w:val="center"/>
              <w:rPr>
                <w:rFonts w:ascii="宋体" w:hAnsi="宋体" w:eastAsiaTheme="minorEastAsia" w:cstheme="minorBidi"/>
                <w:b/>
                <w:color w:val="auto"/>
                <w:szCs w:val="21"/>
                <w:highlight w:val="none"/>
              </w:rPr>
            </w:pPr>
            <w:r>
              <w:rPr>
                <w:rFonts w:hint="eastAsia" w:ascii="宋体" w:hAnsi="宋体"/>
                <w:b/>
                <w:color w:val="auto"/>
                <w:szCs w:val="21"/>
                <w:highlight w:val="none"/>
              </w:rPr>
              <w:t>收费标准</w:t>
            </w:r>
          </w:p>
        </w:tc>
      </w:tr>
      <w:tr w14:paraId="47A4BE6C">
        <w:tblPrEx>
          <w:tblCellMar>
            <w:top w:w="0" w:type="dxa"/>
            <w:left w:w="108" w:type="dxa"/>
            <w:bottom w:w="0" w:type="dxa"/>
            <w:right w:w="108" w:type="dxa"/>
          </w:tblCellMar>
        </w:tblPrEx>
        <w:trPr>
          <w:trHeight w:val="332" w:hRule="atLeast"/>
          <w:jc w:val="center"/>
        </w:trPr>
        <w:tc>
          <w:tcPr>
            <w:tcW w:w="2125" w:type="dxa"/>
            <w:vMerge w:val="restart"/>
            <w:tcBorders>
              <w:top w:val="nil"/>
              <w:left w:val="single" w:color="auto" w:sz="4" w:space="0"/>
              <w:bottom w:val="single" w:color="auto" w:sz="4" w:space="0"/>
              <w:right w:val="single" w:color="auto" w:sz="4" w:space="0"/>
            </w:tcBorders>
            <w:vAlign w:val="center"/>
          </w:tcPr>
          <w:p w14:paraId="0DE5ABC8">
            <w:pPr>
              <w:shd w:val="clear" w:color="auto" w:fill="FFFFFF"/>
              <w:rPr>
                <w:rFonts w:ascii="宋体" w:hAnsi="宋体" w:eastAsiaTheme="minorEastAsia" w:cstheme="minorBidi"/>
                <w:b/>
                <w:color w:val="auto"/>
                <w:szCs w:val="21"/>
                <w:highlight w:val="none"/>
              </w:rPr>
            </w:pPr>
            <w:r>
              <w:rPr>
                <w:rFonts w:hint="eastAsia" w:ascii="宋体" w:hAnsi="宋体" w:cs="Arial"/>
                <w:bCs/>
                <w:color w:val="auto"/>
                <w:sz w:val="24"/>
                <w:szCs w:val="24"/>
                <w:highlight w:val="none"/>
              </w:rPr>
              <w:t>喷墨打印机上门安装及上门售后服务费用</w:t>
            </w:r>
          </w:p>
        </w:tc>
        <w:tc>
          <w:tcPr>
            <w:tcW w:w="4977" w:type="dxa"/>
            <w:tcBorders>
              <w:top w:val="nil"/>
              <w:left w:val="nil"/>
              <w:bottom w:val="single" w:color="auto" w:sz="4" w:space="0"/>
              <w:right w:val="single" w:color="auto" w:sz="4" w:space="0"/>
            </w:tcBorders>
            <w:vAlign w:val="center"/>
          </w:tcPr>
          <w:p w14:paraId="5AFE346F">
            <w:pPr>
              <w:shd w:val="clear" w:color="auto" w:fill="FFFFFF"/>
              <w:rPr>
                <w:rFonts w:ascii="宋体" w:hAnsi="宋体" w:eastAsiaTheme="minorEastAsia" w:cstheme="minorBidi"/>
                <w:b/>
                <w:color w:val="auto"/>
                <w:szCs w:val="21"/>
                <w:highlight w:val="none"/>
              </w:rPr>
            </w:pPr>
            <w:r>
              <w:rPr>
                <w:rFonts w:hint="eastAsia" w:ascii="宋体" w:hAnsi="宋体"/>
                <w:b/>
                <w:color w:val="auto"/>
                <w:szCs w:val="21"/>
                <w:highlight w:val="none"/>
              </w:rPr>
              <w:t>厦门市全区、福州市区内、莆田市区内、泉州市区内、漳州市区内、龙岩市区内、三明市区内、南平市区内和宁德市区内（福建省各地市区外划分详见该表格备注栏）</w:t>
            </w:r>
          </w:p>
        </w:tc>
        <w:tc>
          <w:tcPr>
            <w:tcW w:w="1194" w:type="dxa"/>
            <w:tcBorders>
              <w:top w:val="nil"/>
              <w:left w:val="nil"/>
              <w:bottom w:val="single" w:color="auto" w:sz="4" w:space="0"/>
              <w:right w:val="single" w:color="auto" w:sz="4" w:space="0"/>
            </w:tcBorders>
            <w:vAlign w:val="center"/>
          </w:tcPr>
          <w:p w14:paraId="64F91970">
            <w:pPr>
              <w:shd w:val="clear" w:color="auto" w:fill="FFFFFF"/>
              <w:rPr>
                <w:rFonts w:ascii="宋体" w:hAnsi="宋体" w:eastAsiaTheme="minorEastAsia" w:cstheme="minorBidi"/>
                <w:b/>
                <w:color w:val="auto"/>
                <w:szCs w:val="21"/>
                <w:highlight w:val="none"/>
              </w:rPr>
            </w:pPr>
            <w:r>
              <w:rPr>
                <w:rFonts w:hint="eastAsia" w:ascii="宋体" w:hAnsi="宋体"/>
                <w:b/>
                <w:color w:val="auto"/>
                <w:szCs w:val="21"/>
                <w:highlight w:val="none"/>
              </w:rPr>
              <w:t>免费</w:t>
            </w:r>
          </w:p>
        </w:tc>
      </w:tr>
      <w:tr w14:paraId="1ACECCC1">
        <w:tblPrEx>
          <w:tblCellMar>
            <w:top w:w="0" w:type="dxa"/>
            <w:left w:w="108" w:type="dxa"/>
            <w:bottom w:w="0" w:type="dxa"/>
            <w:right w:w="108" w:type="dxa"/>
          </w:tblCellMar>
        </w:tblPrEx>
        <w:trPr>
          <w:trHeight w:val="332" w:hRule="atLeast"/>
          <w:jc w:val="center"/>
        </w:trPr>
        <w:tc>
          <w:tcPr>
            <w:tcW w:w="8296" w:type="dxa"/>
            <w:vMerge w:val="continue"/>
            <w:tcBorders>
              <w:top w:val="nil"/>
              <w:left w:val="single" w:color="auto" w:sz="4" w:space="0"/>
              <w:bottom w:val="single" w:color="auto" w:sz="4" w:space="0"/>
              <w:right w:val="single" w:color="auto" w:sz="4" w:space="0"/>
            </w:tcBorders>
            <w:vAlign w:val="center"/>
          </w:tcPr>
          <w:p w14:paraId="5834E040">
            <w:pPr>
              <w:widowControl/>
              <w:jc w:val="left"/>
              <w:rPr>
                <w:rFonts w:ascii="宋体" w:hAnsi="宋体" w:eastAsiaTheme="minorEastAsia" w:cstheme="minorBidi"/>
                <w:b/>
                <w:color w:val="auto"/>
                <w:szCs w:val="21"/>
                <w:highlight w:val="none"/>
              </w:rPr>
            </w:pPr>
          </w:p>
        </w:tc>
        <w:tc>
          <w:tcPr>
            <w:tcW w:w="4977" w:type="dxa"/>
            <w:tcBorders>
              <w:top w:val="nil"/>
              <w:left w:val="nil"/>
              <w:bottom w:val="single" w:color="auto" w:sz="4" w:space="0"/>
              <w:right w:val="single" w:color="auto" w:sz="4" w:space="0"/>
            </w:tcBorders>
            <w:vAlign w:val="center"/>
          </w:tcPr>
          <w:p w14:paraId="2F19CB0A">
            <w:pPr>
              <w:shd w:val="clear" w:color="auto" w:fill="FFFFFF"/>
              <w:rPr>
                <w:rFonts w:ascii="宋体" w:hAnsi="宋体" w:eastAsiaTheme="minorEastAsia" w:cstheme="minorBidi"/>
                <w:b/>
                <w:color w:val="auto"/>
                <w:szCs w:val="21"/>
                <w:highlight w:val="none"/>
              </w:rPr>
            </w:pPr>
            <w:r>
              <w:rPr>
                <w:rFonts w:hint="eastAsia" w:ascii="宋体" w:hAnsi="宋体"/>
                <w:b/>
                <w:color w:val="auto"/>
                <w:szCs w:val="21"/>
                <w:highlight w:val="none"/>
              </w:rPr>
              <w:t>福州市区外、莆田市区外、泉州市区外、漳州市区外、龙岩市区外、三明市区外、南平市区外和宁德市区外（福建省各地市区外划分详见该表格备注栏）</w:t>
            </w:r>
          </w:p>
        </w:tc>
        <w:tc>
          <w:tcPr>
            <w:tcW w:w="1194" w:type="dxa"/>
            <w:tcBorders>
              <w:top w:val="nil"/>
              <w:left w:val="nil"/>
              <w:bottom w:val="single" w:color="auto" w:sz="4" w:space="0"/>
              <w:right w:val="single" w:color="auto" w:sz="4" w:space="0"/>
            </w:tcBorders>
            <w:vAlign w:val="center"/>
          </w:tcPr>
          <w:p w14:paraId="46882072">
            <w:pPr>
              <w:shd w:val="clear" w:color="auto" w:fill="FFFFFF"/>
              <w:rPr>
                <w:rFonts w:ascii="宋体" w:hAnsi="宋体" w:eastAsiaTheme="minorEastAsia" w:cstheme="minorBidi"/>
                <w:b/>
                <w:color w:val="auto"/>
                <w:szCs w:val="21"/>
                <w:highlight w:val="none"/>
              </w:rPr>
            </w:pPr>
            <w:r>
              <w:rPr>
                <w:rFonts w:hint="eastAsia" w:ascii="宋体" w:hAnsi="宋体"/>
                <w:b/>
                <w:color w:val="auto"/>
                <w:szCs w:val="21"/>
                <w:highlight w:val="none"/>
              </w:rPr>
              <w:t>79元/台</w:t>
            </w:r>
          </w:p>
        </w:tc>
      </w:tr>
      <w:tr w14:paraId="53E331C3">
        <w:tblPrEx>
          <w:tblCellMar>
            <w:top w:w="0" w:type="dxa"/>
            <w:left w:w="108" w:type="dxa"/>
            <w:bottom w:w="0" w:type="dxa"/>
            <w:right w:w="108" w:type="dxa"/>
          </w:tblCellMar>
        </w:tblPrEx>
        <w:trPr>
          <w:trHeight w:val="1140" w:hRule="atLeast"/>
          <w:jc w:val="center"/>
        </w:trPr>
        <w:tc>
          <w:tcPr>
            <w:tcW w:w="8296" w:type="dxa"/>
            <w:gridSpan w:val="3"/>
            <w:tcBorders>
              <w:top w:val="single" w:color="auto" w:sz="4" w:space="0"/>
              <w:left w:val="single" w:color="auto" w:sz="4" w:space="0"/>
              <w:bottom w:val="single" w:color="auto" w:sz="4" w:space="0"/>
              <w:right w:val="single" w:color="auto" w:sz="4" w:space="0"/>
            </w:tcBorders>
            <w:vAlign w:val="center"/>
          </w:tcPr>
          <w:p w14:paraId="14BBA39F">
            <w:pPr>
              <w:shd w:val="clear" w:color="auto" w:fill="FFFFFF"/>
              <w:rPr>
                <w:rFonts w:ascii="宋体" w:hAnsi="宋体"/>
                <w:b/>
                <w:color w:val="auto"/>
                <w:szCs w:val="21"/>
                <w:highlight w:val="none"/>
              </w:rPr>
            </w:pPr>
            <w:r>
              <w:rPr>
                <w:rFonts w:hint="eastAsia" w:ascii="宋体" w:hAnsi="宋体"/>
                <w:b/>
                <w:color w:val="auto"/>
                <w:szCs w:val="21"/>
                <w:highlight w:val="none"/>
              </w:rPr>
              <w:t>备注：福建省各地市的区内/区外划分</w:t>
            </w:r>
          </w:p>
          <w:tbl>
            <w:tblPr>
              <w:tblStyle w:val="12"/>
              <w:tblW w:w="8060" w:type="dxa"/>
              <w:tblInd w:w="0" w:type="dxa"/>
              <w:tblLayout w:type="fixed"/>
              <w:tblCellMar>
                <w:top w:w="0" w:type="dxa"/>
                <w:left w:w="108" w:type="dxa"/>
                <w:bottom w:w="0" w:type="dxa"/>
                <w:right w:w="108" w:type="dxa"/>
              </w:tblCellMar>
            </w:tblPr>
            <w:tblGrid>
              <w:gridCol w:w="1014"/>
              <w:gridCol w:w="993"/>
              <w:gridCol w:w="6053"/>
            </w:tblGrid>
            <w:tr w14:paraId="1FB4BA8A">
              <w:tblPrEx>
                <w:tblCellMar>
                  <w:top w:w="0" w:type="dxa"/>
                  <w:left w:w="108" w:type="dxa"/>
                  <w:bottom w:w="0" w:type="dxa"/>
                  <w:right w:w="108" w:type="dxa"/>
                </w:tblCellMar>
              </w:tblPrEx>
              <w:trPr>
                <w:trHeight w:val="1265" w:hRule="atLeast"/>
              </w:trPr>
              <w:tc>
                <w:tcPr>
                  <w:tcW w:w="1014" w:type="dxa"/>
                  <w:tcBorders>
                    <w:top w:val="single" w:color="auto" w:sz="8" w:space="0"/>
                    <w:left w:val="single" w:color="auto" w:sz="8" w:space="0"/>
                    <w:bottom w:val="nil"/>
                    <w:right w:val="single" w:color="auto" w:sz="8" w:space="0"/>
                  </w:tcBorders>
                  <w:vAlign w:val="center"/>
                </w:tcPr>
                <w:p w14:paraId="1B58DF49">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厦门</w:t>
                  </w:r>
                </w:p>
              </w:tc>
              <w:tc>
                <w:tcPr>
                  <w:tcW w:w="993" w:type="dxa"/>
                  <w:tcBorders>
                    <w:top w:val="single" w:color="auto" w:sz="8" w:space="0"/>
                    <w:left w:val="nil"/>
                    <w:bottom w:val="nil"/>
                    <w:right w:val="single" w:color="auto" w:sz="8" w:space="0"/>
                  </w:tcBorders>
                  <w:vAlign w:val="center"/>
                </w:tcPr>
                <w:p w14:paraId="5892CF29">
                  <w:pPr>
                    <w:widowControl/>
                    <w:spacing w:line="315" w:lineRule="atLeast"/>
                    <w:jc w:val="center"/>
                    <w:rPr>
                      <w:color w:val="auto"/>
                      <w:highlight w:val="none"/>
                    </w:rPr>
                  </w:pPr>
                </w:p>
                <w:p w14:paraId="402E3903">
                  <w:pPr>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全市</w:t>
                  </w:r>
                </w:p>
              </w:tc>
              <w:tc>
                <w:tcPr>
                  <w:tcW w:w="6053" w:type="dxa"/>
                  <w:tcBorders>
                    <w:top w:val="single" w:color="auto" w:sz="8" w:space="0"/>
                    <w:left w:val="nil"/>
                    <w:bottom w:val="nil"/>
                    <w:right w:val="single" w:color="auto" w:sz="8" w:space="0"/>
                  </w:tcBorders>
                  <w:vAlign w:val="center"/>
                </w:tcPr>
                <w:p w14:paraId="0C0179FC">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思明区、湖里区、海沧区、集美区、同安区、翔安区等厦门市行政区域范围内</w:t>
                  </w:r>
                </w:p>
              </w:tc>
            </w:tr>
            <w:tr w14:paraId="53528C28">
              <w:tblPrEx>
                <w:tblCellMar>
                  <w:top w:w="0" w:type="dxa"/>
                  <w:left w:w="108" w:type="dxa"/>
                  <w:bottom w:w="0" w:type="dxa"/>
                  <w:right w:w="108" w:type="dxa"/>
                </w:tblCellMar>
              </w:tblPrEx>
              <w:trPr>
                <w:trHeight w:val="615"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14:paraId="705972CC">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福州市</w:t>
                  </w:r>
                </w:p>
              </w:tc>
              <w:tc>
                <w:tcPr>
                  <w:tcW w:w="993" w:type="dxa"/>
                  <w:tcBorders>
                    <w:top w:val="single" w:color="auto" w:sz="8" w:space="0"/>
                    <w:left w:val="nil"/>
                    <w:bottom w:val="single" w:color="auto" w:sz="8" w:space="0"/>
                    <w:right w:val="single" w:color="auto" w:sz="8" w:space="0"/>
                  </w:tcBorders>
                  <w:vAlign w:val="center"/>
                </w:tcPr>
                <w:p w14:paraId="4B828426">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single" w:color="auto" w:sz="8" w:space="0"/>
                    <w:left w:val="nil"/>
                    <w:bottom w:val="single" w:color="auto" w:sz="8" w:space="0"/>
                    <w:right w:val="single" w:color="auto" w:sz="8" w:space="0"/>
                  </w:tcBorders>
                  <w:vAlign w:val="center"/>
                </w:tcPr>
                <w:p w14:paraId="65D7C135">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鼓楼区、台江区、仓山区、晋安区、马尾区</w:t>
                  </w:r>
                </w:p>
              </w:tc>
            </w:tr>
            <w:tr w14:paraId="662B7ADA">
              <w:tblPrEx>
                <w:tblCellMar>
                  <w:top w:w="0" w:type="dxa"/>
                  <w:left w:w="108" w:type="dxa"/>
                  <w:bottom w:w="0" w:type="dxa"/>
                  <w:right w:w="108" w:type="dxa"/>
                </w:tblCellMar>
              </w:tblPrEx>
              <w:trPr>
                <w:trHeight w:val="61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14:paraId="317F0E03">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4AF02E6F">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5DD35DB5">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福清市、长乐市、闽侯县、连江县、罗源县、闽清县、永泰县、平潭县等福州市非区内范围</w:t>
                  </w:r>
                </w:p>
              </w:tc>
            </w:tr>
            <w:tr w14:paraId="7FD20433">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0CBA9949">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莆田市</w:t>
                  </w:r>
                </w:p>
              </w:tc>
              <w:tc>
                <w:tcPr>
                  <w:tcW w:w="993" w:type="dxa"/>
                  <w:tcBorders>
                    <w:top w:val="nil"/>
                    <w:left w:val="nil"/>
                    <w:bottom w:val="single" w:color="auto" w:sz="8" w:space="0"/>
                    <w:right w:val="single" w:color="auto" w:sz="8" w:space="0"/>
                  </w:tcBorders>
                  <w:vAlign w:val="center"/>
                </w:tcPr>
                <w:p w14:paraId="6AE82486">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458708C5">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城厢区、荔城区、涵江区</w:t>
                  </w:r>
                </w:p>
              </w:tc>
            </w:tr>
            <w:tr w14:paraId="2896F8B3">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32FC111A">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793CC883">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445AD9A2">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秀屿区、湄洲岛、仙游县、湄洲湾北岸开发区等莆田市非区内范围</w:t>
                  </w:r>
                </w:p>
              </w:tc>
            </w:tr>
            <w:tr w14:paraId="4D39A4A6">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06F8C77D">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泉州市</w:t>
                  </w:r>
                </w:p>
              </w:tc>
              <w:tc>
                <w:tcPr>
                  <w:tcW w:w="993" w:type="dxa"/>
                  <w:tcBorders>
                    <w:top w:val="nil"/>
                    <w:left w:val="nil"/>
                    <w:bottom w:val="single" w:color="auto" w:sz="8" w:space="0"/>
                    <w:right w:val="single" w:color="auto" w:sz="8" w:space="0"/>
                  </w:tcBorders>
                  <w:vAlign w:val="center"/>
                </w:tcPr>
                <w:p w14:paraId="2E03F587">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7085BEE1">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鲤城区、丰泽区、洛江区、泉港区</w:t>
                  </w:r>
                </w:p>
              </w:tc>
            </w:tr>
            <w:tr w14:paraId="3C37ABE2">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0FE4B30A">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49128E87">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7FA4748A">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晋江市、石狮市、南安市、惠安县、安溪县、永春县、德化县等泉州市非区内范围</w:t>
                  </w:r>
                </w:p>
              </w:tc>
            </w:tr>
            <w:tr w14:paraId="37DB2E9E">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430452BB">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漳州市</w:t>
                  </w:r>
                </w:p>
              </w:tc>
              <w:tc>
                <w:tcPr>
                  <w:tcW w:w="993" w:type="dxa"/>
                  <w:tcBorders>
                    <w:top w:val="nil"/>
                    <w:left w:val="nil"/>
                    <w:bottom w:val="single" w:color="auto" w:sz="8" w:space="0"/>
                    <w:right w:val="single" w:color="auto" w:sz="8" w:space="0"/>
                  </w:tcBorders>
                  <w:vAlign w:val="center"/>
                </w:tcPr>
                <w:p w14:paraId="560DB422">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0D7E1783">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芗城区、龙文区</w:t>
                  </w:r>
                </w:p>
              </w:tc>
            </w:tr>
            <w:tr w14:paraId="64E232AE">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41531107">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171B2B17">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6BAE8605">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龙海市、云霄县、漳浦县、诏安县、长泰县、东山县、南靖县、平和县、华安县等漳州市非区内范围</w:t>
                  </w:r>
                </w:p>
              </w:tc>
            </w:tr>
            <w:tr w14:paraId="58994F08">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186EF5FF">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龙岩市</w:t>
                  </w:r>
                </w:p>
              </w:tc>
              <w:tc>
                <w:tcPr>
                  <w:tcW w:w="993" w:type="dxa"/>
                  <w:tcBorders>
                    <w:top w:val="nil"/>
                    <w:left w:val="nil"/>
                    <w:bottom w:val="single" w:color="auto" w:sz="8" w:space="0"/>
                    <w:right w:val="single" w:color="auto" w:sz="8" w:space="0"/>
                  </w:tcBorders>
                  <w:vAlign w:val="center"/>
                </w:tcPr>
                <w:p w14:paraId="24FC6168">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11E37306">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新罗区</w:t>
                  </w:r>
                </w:p>
              </w:tc>
            </w:tr>
            <w:tr w14:paraId="0E13728A">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14C46B26">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07E7C496">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3058607F">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永定区、长汀县、连城县、上杭县、武平县等龙岩市非区内范围</w:t>
                  </w:r>
                </w:p>
              </w:tc>
            </w:tr>
            <w:tr w14:paraId="6F657004">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16D8778E">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三明市</w:t>
                  </w:r>
                </w:p>
              </w:tc>
              <w:tc>
                <w:tcPr>
                  <w:tcW w:w="993" w:type="dxa"/>
                  <w:tcBorders>
                    <w:top w:val="nil"/>
                    <w:left w:val="nil"/>
                    <w:bottom w:val="single" w:color="auto" w:sz="8" w:space="0"/>
                    <w:right w:val="single" w:color="auto" w:sz="8" w:space="0"/>
                  </w:tcBorders>
                  <w:vAlign w:val="center"/>
                </w:tcPr>
                <w:p w14:paraId="6100174F">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24EE27A4">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梅列区、三元区</w:t>
                  </w:r>
                </w:p>
              </w:tc>
            </w:tr>
            <w:tr w14:paraId="7BD0C27E">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6EF6F6C8">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7E70EE71">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7807F84D">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永安市、沙县、尤溪县、大田县、明溪县、清流县、宁化县、将乐县、泰宁县、建宁县等三明市非区内范围</w:t>
                  </w:r>
                </w:p>
              </w:tc>
            </w:tr>
            <w:tr w14:paraId="5FA233D5">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1B6468CD">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南平市</w:t>
                  </w:r>
                </w:p>
              </w:tc>
              <w:tc>
                <w:tcPr>
                  <w:tcW w:w="993" w:type="dxa"/>
                  <w:tcBorders>
                    <w:top w:val="nil"/>
                    <w:left w:val="nil"/>
                    <w:bottom w:val="single" w:color="auto" w:sz="8" w:space="0"/>
                    <w:right w:val="single" w:color="auto" w:sz="8" w:space="0"/>
                  </w:tcBorders>
                  <w:vAlign w:val="center"/>
                </w:tcPr>
                <w:p w14:paraId="7FCA0FB4">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65CFB5F0">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延平区</w:t>
                  </w:r>
                </w:p>
              </w:tc>
            </w:tr>
            <w:tr w14:paraId="62CEAAC9">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3D10D70B">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6AC7542B">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7DA54B51">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顺昌县、建瓯市、邵武市、建阳区、政和县、松溪县、浦城县、武夷山市、光泽县等南平市非区内范围</w:t>
                  </w:r>
                </w:p>
              </w:tc>
            </w:tr>
            <w:tr w14:paraId="3E2B07D9">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14:paraId="28EAA258">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宁德市</w:t>
                  </w:r>
                </w:p>
              </w:tc>
              <w:tc>
                <w:tcPr>
                  <w:tcW w:w="993" w:type="dxa"/>
                  <w:tcBorders>
                    <w:top w:val="nil"/>
                    <w:left w:val="nil"/>
                    <w:bottom w:val="single" w:color="auto" w:sz="8" w:space="0"/>
                    <w:right w:val="single" w:color="auto" w:sz="8" w:space="0"/>
                  </w:tcBorders>
                  <w:vAlign w:val="center"/>
                </w:tcPr>
                <w:p w14:paraId="53F3FE44">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区内</w:t>
                  </w:r>
                </w:p>
              </w:tc>
              <w:tc>
                <w:tcPr>
                  <w:tcW w:w="6053" w:type="dxa"/>
                  <w:tcBorders>
                    <w:top w:val="nil"/>
                    <w:left w:val="nil"/>
                    <w:bottom w:val="single" w:color="auto" w:sz="8" w:space="0"/>
                    <w:right w:val="single" w:color="auto" w:sz="8" w:space="0"/>
                  </w:tcBorders>
                  <w:vAlign w:val="center"/>
                </w:tcPr>
                <w:p w14:paraId="4D749F69">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蕉城区、东侨新区</w:t>
                  </w:r>
                </w:p>
              </w:tc>
            </w:tr>
            <w:tr w14:paraId="1F9E4BAD">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5F668AEA">
                  <w:pPr>
                    <w:widowControl/>
                    <w:jc w:val="left"/>
                    <w:rPr>
                      <w:rFonts w:ascii="宋体" w:hAnsi="宋体" w:eastAsiaTheme="minorEastAsia" w:cstheme="minorBidi"/>
                      <w:b/>
                      <w:color w:val="auto"/>
                      <w:szCs w:val="21"/>
                      <w:highlight w:val="none"/>
                    </w:rPr>
                  </w:pPr>
                </w:p>
              </w:tc>
              <w:tc>
                <w:tcPr>
                  <w:tcW w:w="993" w:type="dxa"/>
                  <w:tcBorders>
                    <w:top w:val="nil"/>
                    <w:left w:val="nil"/>
                    <w:bottom w:val="single" w:color="auto" w:sz="8" w:space="0"/>
                    <w:right w:val="single" w:color="auto" w:sz="8" w:space="0"/>
                  </w:tcBorders>
                  <w:vAlign w:val="center"/>
                </w:tcPr>
                <w:p w14:paraId="7002E83F">
                  <w:pPr>
                    <w:widowControl/>
                    <w:spacing w:line="315" w:lineRule="atLeast"/>
                    <w:jc w:val="center"/>
                    <w:rPr>
                      <w:rFonts w:ascii="宋体" w:hAnsi="宋体" w:eastAsiaTheme="minorEastAsia" w:cstheme="minorBidi"/>
                      <w:b/>
                      <w:color w:val="auto"/>
                      <w:szCs w:val="21"/>
                      <w:highlight w:val="none"/>
                    </w:rPr>
                  </w:pPr>
                  <w:r>
                    <w:rPr>
                      <w:rFonts w:hint="eastAsia" w:ascii="宋体" w:hAnsi="宋体"/>
                      <w:b/>
                      <w:color w:val="auto"/>
                      <w:szCs w:val="21"/>
                      <w:highlight w:val="none"/>
                    </w:rPr>
                    <w:t>区外</w:t>
                  </w:r>
                </w:p>
              </w:tc>
              <w:tc>
                <w:tcPr>
                  <w:tcW w:w="6053" w:type="dxa"/>
                  <w:tcBorders>
                    <w:top w:val="nil"/>
                    <w:left w:val="nil"/>
                    <w:bottom w:val="single" w:color="auto" w:sz="8" w:space="0"/>
                    <w:right w:val="single" w:color="auto" w:sz="8" w:space="0"/>
                  </w:tcBorders>
                  <w:vAlign w:val="center"/>
                </w:tcPr>
                <w:p w14:paraId="1C11B538">
                  <w:pPr>
                    <w:widowControl/>
                    <w:spacing w:line="315" w:lineRule="atLeast"/>
                    <w:rPr>
                      <w:rFonts w:ascii="宋体" w:hAnsi="宋体" w:eastAsiaTheme="minorEastAsia" w:cstheme="minorBidi"/>
                      <w:b/>
                      <w:color w:val="auto"/>
                      <w:szCs w:val="21"/>
                      <w:highlight w:val="none"/>
                    </w:rPr>
                  </w:pPr>
                  <w:r>
                    <w:rPr>
                      <w:rFonts w:hint="eastAsia" w:ascii="宋体" w:hAnsi="宋体"/>
                      <w:b/>
                      <w:color w:val="auto"/>
                      <w:szCs w:val="21"/>
                      <w:highlight w:val="none"/>
                    </w:rPr>
                    <w:t>福安市、福鼎市、霞浦县、古田县、屏南县、寿宁县、周宁县、柘荣县等宁德市非区内范围</w:t>
                  </w:r>
                </w:p>
              </w:tc>
            </w:tr>
          </w:tbl>
          <w:p w14:paraId="10CAC855">
            <w:pPr>
              <w:shd w:val="clear" w:color="auto" w:fill="FFFFFF"/>
              <w:rPr>
                <w:rFonts w:ascii="宋体" w:hAnsi="宋体" w:eastAsiaTheme="minorEastAsia" w:cstheme="minorBidi"/>
                <w:b/>
                <w:color w:val="auto"/>
                <w:szCs w:val="21"/>
                <w:highlight w:val="none"/>
              </w:rPr>
            </w:pPr>
          </w:p>
        </w:tc>
      </w:tr>
    </w:tbl>
    <w:p w14:paraId="37DACB8A">
      <w:pPr>
        <w:spacing w:line="360" w:lineRule="auto"/>
        <w:ind w:firstLine="482" w:firstLineChars="200"/>
        <w:rPr>
          <w:rFonts w:ascii="宋体" w:hAnsi="宋体" w:cs="宋体" w:eastAsiaTheme="minorEastAsia"/>
          <w:b/>
          <w:color w:val="auto"/>
          <w:sz w:val="24"/>
          <w:szCs w:val="24"/>
          <w:highlight w:val="none"/>
        </w:rPr>
      </w:pPr>
      <w:r>
        <w:rPr>
          <w:rFonts w:hint="eastAsia" w:ascii="宋体" w:hAnsi="宋体" w:cs="宋体"/>
          <w:b/>
          <w:color w:val="auto"/>
          <w:sz w:val="24"/>
          <w:szCs w:val="24"/>
          <w:highlight w:val="none"/>
        </w:rPr>
        <w:t>*4、投标人承诺，一旦被推荐为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在接到采购单位或最终用户的报修电话，应在1个工作小时内电话响应，3个工作小时内到达，到达后12个工作小时内修复；若在12个工作小时内无法修复的，中标供应商应在12个工作小时内先提供备用机供最终用户使用，直至设备修复能正常使用5个工作日以上才可回收；如中标供应商所提供的备用机与故障机的型号不同，则需免费提供耗材。如果中标供应商未在承诺的时间内将设备修复或者提供备用机的则中标供应商应按200.00元/台/天向采购单位支付逾期违约金。(注：上门服务时间主要根据最终用户需求而定，假如最终用户需要第二天上门处理的，应根据最终用户要求的时间上门；如果最终用户需要晚上19：30后上门，中标供应商也应根据最终用户的要求上门服务。如无特殊情况，须按照上述标准来服务。)</w:t>
      </w:r>
    </w:p>
    <w:p w14:paraId="71072D5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    *5、投标人承诺同意在出现如下任一情况的，采购单位有权单方面取消中标供应商的供货资格并没收中标供应商履约保证金。对中标供应商下述情况在厦门市政府采购网、万翔商务网进行公示，并在三年内拒绝中标供应商进入大宗政府招标采购项目的投标报价。同时，改由大宗招标排名第二的供应商供货。</w:t>
      </w:r>
    </w:p>
    <w:p w14:paraId="37A15664">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①违反法律法规、行业规范要求被有关部门查处的；</w:t>
      </w:r>
    </w:p>
    <w:p w14:paraId="3C368F85">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②提供假冒伪劣产品的；</w:t>
      </w:r>
    </w:p>
    <w:p w14:paraId="0DA790D7">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③通过给回扣或变相给回扣的方式招揽业务的；</w:t>
      </w:r>
    </w:p>
    <w:p w14:paraId="0852F71A">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④因产品质量或服务问题被有效投诉达三次以上的；</w:t>
      </w:r>
    </w:p>
    <w:p w14:paraId="1E2E073F">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⑤向有关部门、采购单位、最终使用方提供虚假信息或资料等情况的；</w:t>
      </w:r>
    </w:p>
    <w:p w14:paraId="1E2BAAB8">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⑥出现重大客户投诉事件（如政府采购管理部门督办事件、新闻媒体公开报道、采购业主书面发函投诉以及其他对采购单位产生严重负面影响的事件）；</w:t>
      </w:r>
    </w:p>
    <w:p w14:paraId="13752D57">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⑦报修率超过3%（按品类分别统计，例如：喷墨打印机等）。报修率=保修期内硬件故障报修有效台次/已销售台数*100%（已销售台数超过100台之后开始计算报修率）。</w:t>
      </w:r>
    </w:p>
    <w:p w14:paraId="1BA503C5">
      <w:pPr>
        <w:shd w:val="clear" w:color="auto" w:fill="FFFFFF"/>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⑧逾期供货时间超过30天。（从订单发出之日开始计算，超过合同规定供货周期的天数）。</w:t>
      </w:r>
    </w:p>
    <w:p w14:paraId="02FAA112">
      <w:pPr>
        <w:adjustRightInd w:val="0"/>
        <w:snapToGrid w:val="0"/>
        <w:spacing w:line="360" w:lineRule="auto"/>
        <w:jc w:val="left"/>
        <w:rPr>
          <w:rFonts w:ascii="宋体" w:hAnsi="宋体" w:cs="宋体"/>
          <w:b/>
          <w:color w:val="auto"/>
          <w:sz w:val="24"/>
          <w:szCs w:val="24"/>
          <w:highlight w:val="none"/>
        </w:rPr>
      </w:pPr>
      <w:r>
        <w:rPr>
          <w:rFonts w:hint="eastAsia" w:ascii="宋体" w:hAnsi="宋体" w:cs="宋体"/>
          <w:b/>
          <w:color w:val="auto"/>
          <w:sz w:val="24"/>
          <w:szCs w:val="24"/>
          <w:highlight w:val="none"/>
        </w:rPr>
        <w:t>⑨产品入库检测、检验时发现大面积产品质量问题。</w:t>
      </w:r>
    </w:p>
    <w:p w14:paraId="56660CB0">
      <w:pPr>
        <w:adjustRightInd w:val="0"/>
        <w:snapToGrid w:val="0"/>
        <w:spacing w:line="360" w:lineRule="auto"/>
        <w:jc w:val="left"/>
        <w:rPr>
          <w:rFonts w:ascii="宋体" w:hAnsi="宋体" w:cstheme="minorBidi"/>
          <w:b/>
          <w:color w:val="auto"/>
          <w:sz w:val="28"/>
          <w:szCs w:val="28"/>
          <w:highlight w:val="none"/>
        </w:rPr>
      </w:pPr>
      <w:r>
        <w:rPr>
          <w:rFonts w:hint="eastAsia" w:ascii="宋体" w:hAnsi="宋体"/>
          <w:b/>
          <w:color w:val="auto"/>
          <w:sz w:val="28"/>
          <w:szCs w:val="28"/>
          <w:highlight w:val="none"/>
        </w:rPr>
        <w:t>六、投标报价要求：</w:t>
      </w:r>
    </w:p>
    <w:p w14:paraId="4FEAC94C">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须以人民币报价，投标报价为投标设备经最终验收合格并交付使用所有可能发生的费用，包括设备费、运送至采购单位指定地点的运输费、运输费保险费、专用工具费、税费、采购保管费、安装费、检验验收、安装调试费以及售后服务等一切费用（投标人可在分项报价表中详细列出报价，如果所列分项报价不含以上内容，则视为已含在总报价中），报价方式为总包价。</w:t>
      </w:r>
    </w:p>
    <w:p w14:paraId="314A995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*2、投标人必须列出招标货物一览表中各品目号设备的单价及总价。</w:t>
      </w:r>
    </w:p>
    <w:p w14:paraId="2797C3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3、本项目采购支持进口产品参与投标。</w:t>
      </w:r>
    </w:p>
    <w:p w14:paraId="06F36C74">
      <w:pPr>
        <w:spacing w:line="360" w:lineRule="auto"/>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rPr>
        <w:t>*4、本项目采购预算为人民币48.07万元整，投标总价不得超过该预算，且品目号1-1单台设备报价不得超过</w:t>
      </w:r>
      <w:r>
        <w:rPr>
          <w:rFonts w:hint="eastAsia" w:ascii="宋体" w:hAnsi="宋体" w:cs="宋体"/>
          <w:b/>
          <w:color w:val="auto"/>
          <w:sz w:val="24"/>
          <w:szCs w:val="24"/>
          <w:highlight w:val="none"/>
          <w:u w:val="single"/>
        </w:rPr>
        <w:t xml:space="preserve"> 800 </w:t>
      </w:r>
      <w:r>
        <w:rPr>
          <w:rFonts w:hint="eastAsia" w:ascii="宋体" w:hAnsi="宋体" w:cs="宋体"/>
          <w:b/>
          <w:color w:val="auto"/>
          <w:sz w:val="24"/>
          <w:szCs w:val="24"/>
          <w:highlight w:val="none"/>
        </w:rPr>
        <w:t>元/台；品目号1-2单台设备报价不得超过</w:t>
      </w:r>
      <w:r>
        <w:rPr>
          <w:rFonts w:hint="eastAsia" w:ascii="宋体" w:hAnsi="宋体" w:cs="宋体"/>
          <w:b/>
          <w:color w:val="auto"/>
          <w:sz w:val="24"/>
          <w:szCs w:val="24"/>
          <w:highlight w:val="none"/>
          <w:u w:val="single"/>
        </w:rPr>
        <w:t xml:space="preserve"> 1500</w:t>
      </w:r>
      <w:r>
        <w:rPr>
          <w:rFonts w:hint="eastAsia" w:ascii="宋体" w:hAnsi="宋体" w:cs="宋体"/>
          <w:b/>
          <w:color w:val="auto"/>
          <w:sz w:val="24"/>
          <w:szCs w:val="24"/>
          <w:highlight w:val="none"/>
        </w:rPr>
        <w:t>元/台；,品目号1-3单台设备报价不得超过</w:t>
      </w:r>
      <w:r>
        <w:rPr>
          <w:rFonts w:hint="eastAsia" w:ascii="宋体" w:hAnsi="宋体" w:cs="宋体"/>
          <w:b/>
          <w:color w:val="auto"/>
          <w:sz w:val="24"/>
          <w:szCs w:val="24"/>
          <w:highlight w:val="none"/>
          <w:u w:val="single"/>
        </w:rPr>
        <w:t xml:space="preserve">  2200</w:t>
      </w:r>
      <w:r>
        <w:rPr>
          <w:rFonts w:hint="eastAsia" w:ascii="宋体" w:hAnsi="宋体" w:cs="宋体"/>
          <w:b/>
          <w:color w:val="auto"/>
          <w:sz w:val="24"/>
          <w:szCs w:val="24"/>
          <w:highlight w:val="none"/>
        </w:rPr>
        <w:t>元/台，品目号1-4单台设备报价不得超过</w:t>
      </w:r>
      <w:r>
        <w:rPr>
          <w:rFonts w:hint="eastAsia" w:ascii="宋体" w:hAnsi="宋体" w:cs="宋体"/>
          <w:b/>
          <w:color w:val="auto"/>
          <w:sz w:val="24"/>
          <w:szCs w:val="24"/>
          <w:highlight w:val="none"/>
          <w:u w:val="single"/>
        </w:rPr>
        <w:t xml:space="preserve"> 2100</w:t>
      </w:r>
      <w:r>
        <w:rPr>
          <w:rFonts w:hint="eastAsia" w:ascii="宋体" w:hAnsi="宋体" w:cs="宋体"/>
          <w:b/>
          <w:color w:val="auto"/>
          <w:sz w:val="24"/>
          <w:szCs w:val="24"/>
          <w:highlight w:val="none"/>
        </w:rPr>
        <w:t>元/台，品目号1-5单台设备报价不得超过</w:t>
      </w:r>
      <w:r>
        <w:rPr>
          <w:rFonts w:hint="eastAsia" w:ascii="宋体" w:hAnsi="宋体" w:cs="宋体"/>
          <w:b/>
          <w:color w:val="auto"/>
          <w:sz w:val="24"/>
          <w:szCs w:val="24"/>
          <w:highlight w:val="none"/>
          <w:u w:val="single"/>
        </w:rPr>
        <w:t xml:space="preserve"> 2600</w:t>
      </w:r>
      <w:r>
        <w:rPr>
          <w:rFonts w:hint="eastAsia" w:ascii="宋体" w:hAnsi="宋体" w:cs="宋体"/>
          <w:b/>
          <w:color w:val="auto"/>
          <w:sz w:val="24"/>
          <w:szCs w:val="24"/>
          <w:highlight w:val="none"/>
        </w:rPr>
        <w:t>元/台。</w:t>
      </w:r>
    </w:p>
    <w:p w14:paraId="22B7E071">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*5、投标人可在下列三种交货方式中选择相应的交货方式。</w:t>
      </w:r>
    </w:p>
    <w:p w14:paraId="24FE0FC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①投标人委托采购单位推荐的第三方物流进行集中仓储和二次配送至最终用户。</w:t>
      </w:r>
    </w:p>
    <w:p w14:paraId="78C6F6CB">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②投标人委托采购单位推荐的第三方物流进行集中仓储，投标人接到采购单位指令后从仓库提货后进行二次配送至最终用户。</w:t>
      </w:r>
    </w:p>
    <w:p w14:paraId="35EF30A5">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③投标人自行完成集中仓储和配送。</w:t>
      </w:r>
    </w:p>
    <w:p w14:paraId="55CCABB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若投标人选择上述①和②的交货方式，投标人除承担运送至第三方物流仓库的费用，还应同时承担货物入第三方物流仓库的仓储操作费、从第三方物流仓库运送至最终用户的二次配送费（若有）等相应费用。</w:t>
      </w:r>
    </w:p>
    <w:p w14:paraId="54C30C16">
      <w:pPr>
        <w:adjustRightInd w:val="0"/>
        <w:snapToGrid w:val="0"/>
        <w:spacing w:line="360" w:lineRule="auto"/>
        <w:ind w:firstLine="482" w:firstLineChars="200"/>
        <w:jc w:val="left"/>
        <w:rPr>
          <w:rFonts w:ascii="宋体" w:hAnsi="宋体" w:cs="宋体"/>
          <w:b/>
          <w:color w:val="auto"/>
          <w:sz w:val="24"/>
          <w:szCs w:val="24"/>
          <w:highlight w:val="none"/>
        </w:rPr>
      </w:pPr>
    </w:p>
    <w:p w14:paraId="552B523E">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中标供应商应具体按照《定货单》要求执行。直送最终用户的，中标供应商应承担相应的运输费用；送仓库后再送至最终用户的，中标供应商除承担运送至采购单位仓库的费用，还应同时承担从采购单位仓库运送至最终用户的二次配送费用（仅包括采购单位仓库所在地行政区域的二次配送费用，例如从厦门仓库到厦门区域范围内的最终用户）。送至仓库后再送至最终用户的，除非《定货单》另有要求，中标供应商在接到采购单位《定货单》之日起15个日历日内货交采购单位仓库，并于接到采购单位通知后，厦门市行政区域内24小时、厦门市行政区域外48小时从采购单位仓库运送至最终用户。中标供应商除承担运送至采购单位仓库的费用，还应同时承担从采购单位仓库运送至最终用户的二次物流费用（包含二次配送费和仓储操作费，A4喷墨打印机仓储操作费为7元/台，二次配送费为13元/台。A3喷墨打印机仓储操作费为15元/台，二次配送费为13元/台。）中标供应商从采购单位仓库中提货后，货物毁损、灭失的风险转移至中标供应商。若中标供应商未按约定的时间将货物送至最终用户的，采购单位将有权直接委托第三方物流代为配送，配送费用由中标供应商直接向第三方物流支付。若中标供应商未向第三方物流支付配送费用的，采购单位将代为支付，并从未付中标供应商款项中扣除。中标供应商最迟在采购单位发出《定货单》之日起10个工作日内向采购单位支付二次配送费。</w:t>
      </w:r>
    </w:p>
    <w:p w14:paraId="6208E364">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6、投标人承诺同意本项目采购的设备按照销售对象及销售区域的不同而分别与采购单位签订合同，即签订一份适用于厦门市机关事业单位社会团体、一份适用于福建省内其他终端用户采购合同。两份合同的总数量和总金额为本次招标采购的总数量和总金额。</w:t>
      </w:r>
    </w:p>
    <w:p w14:paraId="3C0CA1BE">
      <w:pPr>
        <w:adjustRightInd w:val="0"/>
        <w:snapToGrid w:val="0"/>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7、投标人承诺同意在合同期内保证供货价格比其它同类销售渠道、主流网站（京东、苏宁易购、国美、天猫）及政府采购网上超市（福建省、深圳市、浙江省、广东省、南京市）等的常规销售价格上的最低价至少低3%。如中标供应商拒绝调整或双方就价格调整无法协商一致的，中标供应商应按逾期天数，每日承担相当于履约保证金0.5%的违约金，同时采购单位有权终止本合同，并没收中标供应商全部履约保证金，不视为采购单位违约。</w:t>
      </w:r>
    </w:p>
    <w:p w14:paraId="3F54D8B5">
      <w:pPr>
        <w:adjustRightInd w:val="0"/>
        <w:snapToGrid w:val="0"/>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*8、合同签订之日每两个月，采购单位可根据市场行情变化，与中标供应商就产品单价进行重新谈判。</w:t>
      </w:r>
    </w:p>
    <w:p w14:paraId="7E307F00">
      <w:pPr>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七、付款方式</w:t>
      </w:r>
    </w:p>
    <w:p w14:paraId="7DACA4B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投标人须对以下条款承诺：</w:t>
      </w:r>
    </w:p>
    <w:p w14:paraId="409834BB">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*1、交货方式：合同签订后分批供货，按批次支付货款。</w:t>
      </w:r>
    </w:p>
    <w:p w14:paraId="10A1394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*2、货交采购单位仓库的，经采购单位初验合格后，采购单位凭收讫货物的初验合格证明、金额为100%的该批次货款的一般纳税人增值税专用发票等材料在 45 个日历日内（从采购单位收到发票之日算起）向中标供应商一次性支付至该批次货款的 100 %。</w:t>
      </w:r>
    </w:p>
    <w:p w14:paraId="244E2186">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货交最终用户的，该批次货物经安装调试完毕并经最终验收合格后，采购单位凭所列单证和文件在 45 个日历日内（从采购单位收到发票及最终客户签署验收报告之日算起）向中标供应商一次性付清该批次货款的全款。</w:t>
      </w:r>
    </w:p>
    <w:p w14:paraId="2FC8281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中标供应商要求付款应提交下列单证和文件：</w:t>
      </w:r>
    </w:p>
    <w:p w14:paraId="27C1925F">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a.金额为100%的该批次货款的一般纳税人增值税专用发票；</w:t>
      </w:r>
    </w:p>
    <w:p w14:paraId="78D6F6FA">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b.中标供应商已缴纳该批货物的成交/成交服务费的证明材料；</w:t>
      </w:r>
    </w:p>
    <w:p w14:paraId="486168DF">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c.采购单位已收讫的该批次货物的《采购验收报告》(经最终用户签署)；</w:t>
      </w:r>
    </w:p>
    <w:p w14:paraId="034415A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d.其他约定需向采购单位缴交相应费用的证明材料。</w:t>
      </w:r>
    </w:p>
    <w:p w14:paraId="6120F7DC">
      <w:pPr>
        <w:spacing w:line="360" w:lineRule="auto"/>
        <w:ind w:firstLine="482" w:firstLineChars="200"/>
        <w:rPr>
          <w:rFonts w:ascii="宋体" w:hAnsi="宋体" w:cstheme="minorBidi"/>
          <w:b/>
          <w:color w:val="auto"/>
          <w:sz w:val="24"/>
          <w:szCs w:val="24"/>
          <w:highlight w:val="none"/>
        </w:rPr>
      </w:pPr>
      <w:r>
        <w:rPr>
          <w:rFonts w:hint="eastAsia" w:ascii="宋体" w:hAnsi="宋体" w:cs="宋体"/>
          <w:b/>
          <w:color w:val="auto"/>
          <w:sz w:val="24"/>
          <w:szCs w:val="24"/>
          <w:highlight w:val="none"/>
        </w:rPr>
        <w:t>备注：投标人可提出比以上内容更有利于采购单位的付款方式。</w:t>
      </w:r>
    </w:p>
    <w:p w14:paraId="2C03A9B3">
      <w:pPr>
        <w:adjustRightInd w:val="0"/>
        <w:snapToGrid w:val="0"/>
        <w:spacing w:line="360" w:lineRule="auto"/>
        <w:jc w:val="left"/>
        <w:rPr>
          <w:rFonts w:ascii="宋体" w:hAnsi="宋体"/>
          <w:b/>
          <w:color w:val="auto"/>
          <w:sz w:val="28"/>
          <w:szCs w:val="28"/>
          <w:highlight w:val="none"/>
        </w:rPr>
      </w:pPr>
      <w:r>
        <w:rPr>
          <w:rFonts w:hint="eastAsia" w:ascii="宋体" w:hAnsi="宋体"/>
          <w:b/>
          <w:color w:val="auto"/>
          <w:sz w:val="28"/>
          <w:szCs w:val="28"/>
          <w:highlight w:val="none"/>
        </w:rPr>
        <w:t>八、其他要求及说明</w:t>
      </w:r>
    </w:p>
    <w:p w14:paraId="05656F11">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*1、投标人须在投标文件中明确作出如下承诺：投标人承诺接受《采购合同》中《服务考核细则》对其的考核并同意按考核情况处理。</w:t>
      </w:r>
    </w:p>
    <w:p w14:paraId="28986F10">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*2、投标人承诺，如获成交将配合采购单位及产品检验检测机构进行投标产品的检验检测，产品检验检测产生的一切相关费用由中标供应商承担。</w:t>
      </w:r>
    </w:p>
    <w:p w14:paraId="756DD4AE">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*3、本项目成交服务费按每批次《定货单》金额的收费标准收取，中标供应商最迟在采购单位发出《定货单》之日起10个工作日内向招标代理机构缴交成交服务费。</w:t>
      </w:r>
    </w:p>
    <w:p w14:paraId="184F35DA">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*4、投标人承诺同意免费提供：品目号1-1、品目号1-3各1台的产品给予采购单位作为备用机，且于成交后第一次供货时一并提供。备用机归采购单位所有，由采购单位自行调配，合同期满后亦不予返还中标供应商。</w:t>
      </w:r>
    </w:p>
    <w:p w14:paraId="5A194F1D">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*5、投标人对合同条款的任何负偏离将导致无效投标。</w:t>
      </w:r>
    </w:p>
    <w:p w14:paraId="33289E12">
      <w:pPr>
        <w:adjustRightInd w:val="0"/>
        <w:snapToGrid w:val="0"/>
        <w:spacing w:line="360" w:lineRule="auto"/>
        <w:ind w:firstLine="482" w:firstLine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6、所报产品如获得政府采购节能产品认证（喷墨打印机类），投标人应在投标文件中提供其所报产品节能认证证书的复印件，并加盖投标人公章。</w:t>
      </w:r>
    </w:p>
    <w:p w14:paraId="2E6B79D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*7、投标人须在投标文件中明确承诺：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不按采购合同履行的，采购单位有权与排位在</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之后第一位的</w:t>
      </w:r>
      <w:r>
        <w:rPr>
          <w:rFonts w:hint="eastAsia" w:ascii="宋体" w:hAnsi="宋体" w:cs="宋体"/>
          <w:b/>
          <w:color w:val="auto"/>
          <w:kern w:val="0"/>
          <w:sz w:val="24"/>
          <w:szCs w:val="24"/>
          <w:highlight w:val="none"/>
        </w:rPr>
        <w:t>成交</w:t>
      </w:r>
      <w:r>
        <w:rPr>
          <w:rFonts w:hint="eastAsia" w:ascii="宋体" w:hAnsi="宋体" w:cs="宋体"/>
          <w:b/>
          <w:color w:val="auto"/>
          <w:sz w:val="24"/>
          <w:szCs w:val="24"/>
          <w:highlight w:val="none"/>
        </w:rPr>
        <w:t>候选供应商签订采购合同，以此类推。并且，作为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之后第一位的</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同意与采购单位在</w:t>
      </w:r>
      <w:r>
        <w:rPr>
          <w:rFonts w:hint="eastAsia" w:ascii="宋体" w:hAnsi="宋体" w:cs="宋体"/>
          <w:b/>
          <w:color w:val="auto"/>
          <w:kern w:val="0"/>
          <w:sz w:val="24"/>
          <w:szCs w:val="24"/>
          <w:highlight w:val="none"/>
        </w:rPr>
        <w:t>成交</w:t>
      </w:r>
      <w:r>
        <w:rPr>
          <w:rFonts w:hint="eastAsia" w:ascii="宋体" w:hAnsi="宋体" w:cs="宋体"/>
          <w:b/>
          <w:color w:val="auto"/>
          <w:sz w:val="24"/>
          <w:szCs w:val="24"/>
          <w:highlight w:val="none"/>
        </w:rPr>
        <w:t>结果公示期结束后直接按其报价签订采购合同。</w:t>
      </w:r>
    </w:p>
    <w:p w14:paraId="2ABDF31E">
      <w:pPr>
        <w:widowControl/>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*8、投标人承诺若被推荐为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将无条件参与采购单位举办的壹年两次的政府大宗产品推介会，并且免费提供相应的</w:t>
      </w:r>
      <w:r>
        <w:rPr>
          <w:rFonts w:hint="eastAsia" w:ascii="宋体" w:hAnsi="宋体" w:cs="宋体"/>
          <w:b/>
          <w:color w:val="auto"/>
          <w:kern w:val="0"/>
          <w:sz w:val="24"/>
          <w:szCs w:val="24"/>
          <w:highlight w:val="none"/>
        </w:rPr>
        <w:t>成交</w:t>
      </w:r>
      <w:r>
        <w:rPr>
          <w:rFonts w:hint="eastAsia" w:ascii="宋体" w:hAnsi="宋体" w:cs="宋体"/>
          <w:b/>
          <w:color w:val="auto"/>
          <w:sz w:val="24"/>
          <w:szCs w:val="24"/>
          <w:highlight w:val="none"/>
        </w:rPr>
        <w:t>机型作为样机展示，否则视为违约，投标人应按</w:t>
      </w:r>
      <w:r>
        <w:rPr>
          <w:rFonts w:hint="eastAsia" w:ascii="宋体" w:hAnsi="宋体" w:cs="宋体"/>
          <w:b/>
          <w:color w:val="auto"/>
          <w:kern w:val="0"/>
          <w:sz w:val="24"/>
          <w:szCs w:val="24"/>
          <w:highlight w:val="none"/>
        </w:rPr>
        <w:t>成交</w:t>
      </w:r>
      <w:r>
        <w:rPr>
          <w:rFonts w:hint="eastAsia" w:ascii="宋体" w:hAnsi="宋体" w:cs="宋体"/>
          <w:b/>
          <w:color w:val="auto"/>
          <w:sz w:val="24"/>
          <w:szCs w:val="24"/>
          <w:highlight w:val="none"/>
        </w:rPr>
        <w:t>机型的</w:t>
      </w:r>
      <w:r>
        <w:rPr>
          <w:rFonts w:hint="eastAsia" w:ascii="宋体" w:hAnsi="宋体" w:cs="宋体"/>
          <w:b/>
          <w:color w:val="auto"/>
          <w:kern w:val="0"/>
          <w:sz w:val="24"/>
          <w:szCs w:val="24"/>
          <w:highlight w:val="none"/>
        </w:rPr>
        <w:t>成交</w:t>
      </w:r>
      <w:r>
        <w:rPr>
          <w:rFonts w:hint="eastAsia" w:ascii="宋体" w:hAnsi="宋体" w:cs="宋体"/>
          <w:b/>
          <w:color w:val="auto"/>
          <w:sz w:val="24"/>
          <w:szCs w:val="24"/>
          <w:highlight w:val="none"/>
        </w:rPr>
        <w:t>单价向采购单位支付违约金，若</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未向采购单位支付，则采购单位有权直接从履约保证金款项中直接给予扣除。</w:t>
      </w:r>
    </w:p>
    <w:p w14:paraId="0944B1F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*9、投标人承诺若被推荐为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将确保任何产品型号在供货期内能够满足采购单位的需求；若在合同期内中标供应商有任何产品型号或配件升级变更，应至少提前一个月书面通知采购单位相关信息（包括其升级产品型号、部件及详细配置方案），经采购单位书面同意后方可按升级后的产品（或配件）供货，价格按合同单价执行，交货时间按2.3.1执行。同时，在采购单位同意之前，中标供应商仍应按原《定货单》的要求供货。否则，按逾期交货处理。经最终用户认可后，中标供应商可按升级后的产品（或配件）供货。若在合同期内中标供应商有任何产品型号或配件停产且无法提供符合采购单位要求的升级型号或配件则视为严重违约，中标供应商应按每款机型20000元向采购单位缴纳违约金，采购单位有权单方面解除中标合同，没收履约保证金并且有权与中标供应商之后第一位的中标候选供应商签订合同。</w:t>
      </w:r>
    </w:p>
    <w:p w14:paraId="7608D058">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kern w:val="0"/>
          <w:sz w:val="24"/>
          <w:szCs w:val="24"/>
          <w:highlight w:val="none"/>
        </w:rPr>
        <w:t>*10、</w:t>
      </w:r>
      <w:r>
        <w:rPr>
          <w:rFonts w:hint="eastAsia" w:ascii="宋体" w:hAnsi="宋体" w:cs="宋体"/>
          <w:b/>
          <w:color w:val="auto"/>
          <w:sz w:val="24"/>
          <w:szCs w:val="24"/>
          <w:highlight w:val="none"/>
        </w:rPr>
        <w:t>投标人承诺，若被推荐为</w:t>
      </w:r>
      <w:r>
        <w:rPr>
          <w:rFonts w:hint="eastAsia" w:ascii="宋体" w:hAnsi="宋体" w:cs="宋体"/>
          <w:b/>
          <w:color w:val="auto"/>
          <w:kern w:val="0"/>
          <w:sz w:val="24"/>
          <w:szCs w:val="24"/>
          <w:highlight w:val="none"/>
        </w:rPr>
        <w:t>中标供应商</w:t>
      </w:r>
      <w:r>
        <w:rPr>
          <w:rFonts w:hint="eastAsia" w:ascii="宋体" w:hAnsi="宋体" w:cs="宋体"/>
          <w:b/>
          <w:color w:val="auto"/>
          <w:sz w:val="24"/>
          <w:szCs w:val="24"/>
          <w:highlight w:val="none"/>
        </w:rPr>
        <w:t>，其与采购单位之间发生的一切费用均以人民币进行结算及支付；采购单位可以通过银行转账的形式进行支付。</w:t>
      </w:r>
    </w:p>
    <w:p w14:paraId="17671121">
      <w:pPr>
        <w:spacing w:line="360" w:lineRule="auto"/>
        <w:ind w:firstLine="482" w:firstLineChars="200"/>
        <w:rPr>
          <w:rFonts w:ascii="宋体" w:hAnsi="宋体" w:cs="宋体"/>
          <w:b/>
          <w:color w:val="auto"/>
          <w:kern w:val="0"/>
          <w:sz w:val="24"/>
          <w:szCs w:val="24"/>
          <w:highlight w:val="none"/>
        </w:rPr>
      </w:pPr>
      <w:r>
        <w:rPr>
          <w:rFonts w:hint="eastAsia" w:ascii="宋体" w:hAnsi="宋体" w:cs="宋体"/>
          <w:b/>
          <w:color w:val="auto"/>
          <w:sz w:val="24"/>
          <w:szCs w:val="24"/>
          <w:highlight w:val="none"/>
        </w:rPr>
        <w:t>*11、投标人</w:t>
      </w:r>
      <w:r>
        <w:rPr>
          <w:rFonts w:hint="eastAsia" w:ascii="宋体" w:hAnsi="宋体" w:cs="宋体"/>
          <w:b/>
          <w:color w:val="auto"/>
          <w:kern w:val="0"/>
          <w:sz w:val="24"/>
          <w:szCs w:val="24"/>
          <w:highlight w:val="none"/>
        </w:rPr>
        <w:t>承诺，如果</w:t>
      </w:r>
      <w:r>
        <w:rPr>
          <w:rFonts w:hint="eastAsia" w:ascii="宋体" w:hAnsi="宋体" w:cs="宋体"/>
          <w:b/>
          <w:color w:val="auto"/>
          <w:sz w:val="24"/>
          <w:szCs w:val="24"/>
          <w:highlight w:val="none"/>
        </w:rPr>
        <w:t>被推荐为</w:t>
      </w:r>
      <w:r>
        <w:rPr>
          <w:rFonts w:hint="eastAsia" w:ascii="宋体" w:hAnsi="宋体" w:cs="宋体"/>
          <w:b/>
          <w:color w:val="auto"/>
          <w:kern w:val="0"/>
          <w:sz w:val="24"/>
          <w:szCs w:val="24"/>
          <w:highlight w:val="none"/>
        </w:rPr>
        <w:t>中标供应商，验收时（包括初验和最终验收），</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必须派代表参加并确认验收结果，否则视为</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对验收意见无异议。如该批次产品在最终验收时，出现开箱破损或者故障，无法进行最终验收的，</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承诺无条件给予更换新机并保证最终验收的顺畅进行。若</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不同意更换新机或者配合，采购单位有权直接于</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的履约保证金中扣除该批次产品及安装的等额费用。该条款可能造成的成本费用包含在</w:t>
      </w:r>
      <w:r>
        <w:rPr>
          <w:rFonts w:hint="eastAsia" w:ascii="宋体" w:hAnsi="宋体" w:cs="宋体"/>
          <w:b/>
          <w:color w:val="auto"/>
          <w:sz w:val="24"/>
          <w:szCs w:val="24"/>
          <w:highlight w:val="none"/>
        </w:rPr>
        <w:t>投标人</w:t>
      </w:r>
      <w:r>
        <w:rPr>
          <w:rFonts w:hint="eastAsia" w:ascii="宋体" w:hAnsi="宋体" w:cs="宋体"/>
          <w:b/>
          <w:color w:val="auto"/>
          <w:kern w:val="0"/>
          <w:sz w:val="24"/>
          <w:szCs w:val="24"/>
          <w:highlight w:val="none"/>
        </w:rPr>
        <w:t xml:space="preserve">的产品报价中。 </w:t>
      </w:r>
    </w:p>
    <w:p w14:paraId="458CC11A">
      <w:pPr>
        <w:spacing w:line="360" w:lineRule="auto"/>
        <w:ind w:firstLine="420"/>
        <w:rPr>
          <w:rFonts w:ascii="宋体" w:hAnsi="宋体" w:cs="宋体"/>
          <w:b/>
          <w:color w:val="auto"/>
          <w:spacing w:val="4"/>
          <w:sz w:val="24"/>
          <w:szCs w:val="24"/>
          <w:highlight w:val="none"/>
        </w:rPr>
      </w:pPr>
      <w:r>
        <w:rPr>
          <w:rFonts w:hint="eastAsia" w:ascii="宋体" w:hAnsi="宋体" w:cs="宋体"/>
          <w:b/>
          <w:color w:val="auto"/>
          <w:kern w:val="0"/>
          <w:sz w:val="24"/>
          <w:highlight w:val="none"/>
        </w:rPr>
        <w:t>*12、投标人承诺，如果</w:t>
      </w:r>
      <w:r>
        <w:rPr>
          <w:rFonts w:hint="eastAsia" w:ascii="宋体" w:hAnsi="宋体" w:cs="宋体"/>
          <w:b/>
          <w:color w:val="auto"/>
          <w:sz w:val="24"/>
          <w:highlight w:val="none"/>
        </w:rPr>
        <w:t>被推荐为</w:t>
      </w:r>
      <w:r>
        <w:rPr>
          <w:rFonts w:hint="eastAsia" w:ascii="宋体" w:hAnsi="宋体" w:cs="宋体"/>
          <w:b/>
          <w:color w:val="auto"/>
          <w:kern w:val="0"/>
          <w:sz w:val="24"/>
          <w:highlight w:val="none"/>
        </w:rPr>
        <w:t>中标供应商，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w:t>
      </w:r>
    </w:p>
    <w:p w14:paraId="6246E91E">
      <w:pPr>
        <w:tabs>
          <w:tab w:val="left" w:pos="5130"/>
        </w:tabs>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*13、中标供应商应在合同签订之日起7个日历日内向采购单位缴交中标总金额 5%的履约保证金。其中2%作为供货履约保证金，于本合同有效期满后最后一批次货物供货后20个工作日内一次性无息付清（扣除相应的违约金、赔偿金）。3%作为售后履约保证金，于本合同有效期内最后一批次货物保修期届满后20个工作日内一次性无息付清（扣除相应的违约金、赔偿金）。原则上，合同期内卖方应承担的违约金、赔偿金等不超过中标总金额的5%，但因卖方违约给买方造成损失，前述金额不足以弥补买方损失的，卖方应予补足。</w:t>
      </w:r>
    </w:p>
    <w:p w14:paraId="6343FFDE">
      <w:pPr>
        <w:spacing w:line="360" w:lineRule="auto"/>
        <w:ind w:firstLine="480" w:firstLineChars="200"/>
        <w:rPr>
          <w:rFonts w:ascii="仿宋" w:hAnsi="仿宋" w:eastAsia="仿宋" w:cs="仿宋"/>
          <w:bCs/>
          <w:color w:val="auto"/>
          <w:sz w:val="28"/>
          <w:szCs w:val="28"/>
          <w:highlight w:val="none"/>
        </w:rPr>
      </w:pPr>
      <w:r>
        <w:rPr>
          <w:rFonts w:hint="eastAsia" w:ascii="宋体" w:hAnsi="宋体" w:cs="宋体"/>
          <w:color w:val="auto"/>
          <w:kern w:val="0"/>
          <w:sz w:val="24"/>
          <w:highlight w:val="none"/>
        </w:rPr>
        <w:t>14、若出现新的政策要求卖方所提供的产品需要满足适配国产操作系统（银河麒麟或统信操作系统）的，但卖方所供应的产品无法满足前述要求的，买方有权终止本项目合同并重新启动本项目的大宗招标采购程序。</w:t>
      </w:r>
    </w:p>
    <w:p w14:paraId="3E04DEB9">
      <w:pPr>
        <w:tabs>
          <w:tab w:val="left" w:pos="5130"/>
        </w:tabs>
        <w:spacing w:line="360" w:lineRule="auto"/>
        <w:ind w:firstLine="480" w:firstLineChars="200"/>
        <w:rPr>
          <w:rFonts w:ascii="宋体" w:hAnsi="宋体" w:cs="宋体" w:eastAsiaTheme="minorEastAsia"/>
          <w:b/>
          <w:color w:val="auto"/>
          <w:kern w:val="0"/>
          <w:szCs w:val="21"/>
          <w:highlight w:val="none"/>
        </w:rPr>
      </w:pPr>
      <w:r>
        <w:rPr>
          <w:rFonts w:hint="eastAsia" w:ascii="宋体" w:hAnsi="宋体" w:cs="宋体"/>
          <w:color w:val="auto"/>
          <w:kern w:val="0"/>
          <w:sz w:val="24"/>
          <w:highlight w:val="none"/>
        </w:rPr>
        <w:t>15、</w:t>
      </w:r>
      <w:r>
        <w:rPr>
          <w:rFonts w:hint="eastAsia" w:ascii="宋体" w:hAnsi="宋体" w:cs="宋体"/>
          <w:color w:val="auto"/>
          <w:kern w:val="0"/>
          <w:sz w:val="24"/>
          <w:highlight w:val="none"/>
        </w:rPr>
        <w:t>联合体投标的，联合体一方必须是所投设备的制造商或制造商的关联企业。凡属制造商的关联企业，其关联关系应符合《企业会计准则第36号—关联方披露（2006）》（财会[2006]3号）中“关联方关系”的要求，投标人应在投标文件中按后附格式提供《关联企业证明》。</w:t>
      </w:r>
    </w:p>
    <w:p w14:paraId="557C5C7F">
      <w:pPr>
        <w:tabs>
          <w:tab w:val="left" w:pos="5130"/>
        </w:tabs>
        <w:spacing w:line="360" w:lineRule="auto"/>
        <w:ind w:firstLine="480" w:firstLineChars="200"/>
        <w:rPr>
          <w:rFonts w:ascii="宋体" w:hAnsi="宋体" w:cs="宋体"/>
          <w:color w:val="auto"/>
          <w:kern w:val="0"/>
          <w:sz w:val="24"/>
          <w:highlight w:val="none"/>
        </w:rPr>
      </w:pPr>
    </w:p>
    <w:p w14:paraId="6D5D18EC">
      <w:pPr>
        <w:tabs>
          <w:tab w:val="left" w:pos="5130"/>
        </w:tabs>
        <w:spacing w:line="360" w:lineRule="auto"/>
        <w:ind w:firstLine="560" w:firstLineChars="200"/>
        <w:rPr>
          <w:rFonts w:ascii="宋体" w:hAnsi="宋体" w:cs="宋体"/>
          <w:color w:val="auto"/>
          <w:sz w:val="28"/>
          <w:szCs w:val="28"/>
          <w:highlight w:val="none"/>
        </w:rPr>
      </w:pPr>
    </w:p>
    <w:p w14:paraId="53B42619">
      <w:pPr>
        <w:spacing w:line="360" w:lineRule="auto"/>
        <w:rPr>
          <w:b/>
          <w:color w:val="auto"/>
          <w:sz w:val="24"/>
          <w:highlight w:val="none"/>
        </w:rPr>
      </w:pPr>
    </w:p>
    <w:p w14:paraId="557CE791">
      <w:pPr>
        <w:spacing w:line="360" w:lineRule="auto"/>
        <w:rPr>
          <w:b/>
          <w:color w:val="auto"/>
          <w:sz w:val="24"/>
          <w:highlight w:val="none"/>
        </w:rPr>
      </w:pPr>
    </w:p>
    <w:p w14:paraId="63862056">
      <w:pPr>
        <w:spacing w:line="360" w:lineRule="auto"/>
        <w:rPr>
          <w:b/>
          <w:color w:val="auto"/>
          <w:sz w:val="24"/>
          <w:highlight w:val="none"/>
        </w:rPr>
      </w:pPr>
    </w:p>
    <w:p w14:paraId="7C9DD4C8">
      <w:pPr>
        <w:spacing w:line="360" w:lineRule="auto"/>
        <w:rPr>
          <w:b/>
          <w:color w:val="auto"/>
          <w:sz w:val="24"/>
          <w:highlight w:val="none"/>
        </w:rPr>
      </w:pPr>
      <w:r>
        <w:rPr>
          <w:rFonts w:hint="eastAsia"/>
          <w:b/>
          <w:color w:val="auto"/>
          <w:sz w:val="24"/>
          <w:highlight w:val="none"/>
        </w:rPr>
        <w:t>附件：关联关系证明</w:t>
      </w:r>
    </w:p>
    <w:p w14:paraId="21C53518">
      <w:pPr>
        <w:spacing w:line="360" w:lineRule="auto"/>
        <w:jc w:val="center"/>
        <w:rPr>
          <w:b/>
          <w:color w:val="auto"/>
          <w:sz w:val="28"/>
          <w:szCs w:val="28"/>
          <w:highlight w:val="none"/>
        </w:rPr>
      </w:pPr>
      <w:r>
        <w:rPr>
          <w:rFonts w:hint="eastAsia"/>
          <w:b/>
          <w:color w:val="auto"/>
          <w:sz w:val="28"/>
          <w:szCs w:val="28"/>
          <w:highlight w:val="none"/>
        </w:rPr>
        <w:t>关联企业证明</w:t>
      </w:r>
    </w:p>
    <w:p w14:paraId="0158702A">
      <w:pPr>
        <w:spacing w:line="360" w:lineRule="auto"/>
        <w:rPr>
          <w:b/>
          <w:color w:val="auto"/>
          <w:sz w:val="24"/>
          <w:highlight w:val="none"/>
        </w:rPr>
      </w:pPr>
      <w:r>
        <w:rPr>
          <w:rFonts w:hint="eastAsia"/>
          <w:b/>
          <w:color w:val="auto"/>
          <w:sz w:val="24"/>
          <w:highlight w:val="none"/>
        </w:rPr>
        <w:t>致：</w:t>
      </w:r>
      <w:r>
        <w:rPr>
          <w:b/>
          <w:color w:val="auto"/>
          <w:sz w:val="24"/>
          <w:highlight w:val="none"/>
          <w:u w:val="single"/>
        </w:rPr>
        <w:t xml:space="preserve">  </w:t>
      </w:r>
      <w:r>
        <w:rPr>
          <w:rFonts w:hint="eastAsia"/>
          <w:b/>
          <w:color w:val="auto"/>
          <w:sz w:val="24"/>
          <w:highlight w:val="none"/>
          <w:u w:val="single"/>
        </w:rPr>
        <w:t>（招标代理机构）</w:t>
      </w:r>
      <w:r>
        <w:rPr>
          <w:b/>
          <w:color w:val="auto"/>
          <w:sz w:val="24"/>
          <w:highlight w:val="none"/>
          <w:u w:val="single"/>
        </w:rPr>
        <w:t xml:space="preserve">  </w:t>
      </w:r>
    </w:p>
    <w:p w14:paraId="775F20EA">
      <w:pPr>
        <w:spacing w:line="360" w:lineRule="auto"/>
        <w:ind w:firstLine="482" w:firstLineChars="200"/>
        <w:rPr>
          <w:b/>
          <w:color w:val="auto"/>
          <w:sz w:val="24"/>
          <w:highlight w:val="none"/>
        </w:rPr>
      </w:pPr>
      <w:r>
        <w:rPr>
          <w:b/>
          <w:color w:val="auto"/>
          <w:sz w:val="24"/>
          <w:highlight w:val="none"/>
          <w:u w:val="single"/>
        </w:rPr>
        <w:t xml:space="preserve">  </w:t>
      </w:r>
      <w:r>
        <w:rPr>
          <w:rFonts w:hint="eastAsia"/>
          <w:b/>
          <w:color w:val="auto"/>
          <w:sz w:val="24"/>
          <w:highlight w:val="none"/>
          <w:u w:val="single"/>
        </w:rPr>
        <w:t>（制造商或制造商关联企业名称）</w:t>
      </w:r>
      <w:r>
        <w:rPr>
          <w:b/>
          <w:color w:val="auto"/>
          <w:sz w:val="24"/>
          <w:highlight w:val="none"/>
          <w:u w:val="single"/>
        </w:rPr>
        <w:t xml:space="preserve">  </w:t>
      </w:r>
      <w:r>
        <w:rPr>
          <w:rFonts w:hint="eastAsia"/>
          <w:b/>
          <w:color w:val="auto"/>
          <w:sz w:val="24"/>
          <w:highlight w:val="none"/>
        </w:rPr>
        <w:t>现在此声明，根据本项目招标文件的要求</w:t>
      </w:r>
      <w:r>
        <w:rPr>
          <w:b/>
          <w:color w:val="auto"/>
          <w:sz w:val="24"/>
          <w:highlight w:val="none"/>
          <w:u w:val="single"/>
        </w:rPr>
        <w:t xml:space="preserve">  </w:t>
      </w:r>
      <w:r>
        <w:rPr>
          <w:rFonts w:hint="eastAsia"/>
          <w:b/>
          <w:color w:val="auto"/>
          <w:sz w:val="24"/>
          <w:highlight w:val="none"/>
          <w:u w:val="single"/>
        </w:rPr>
        <w:t>（制造商关联企业名称）</w:t>
      </w:r>
      <w:r>
        <w:rPr>
          <w:b/>
          <w:color w:val="auto"/>
          <w:sz w:val="24"/>
          <w:highlight w:val="none"/>
          <w:u w:val="single"/>
        </w:rPr>
        <w:t xml:space="preserve"> </w:t>
      </w:r>
      <w:r>
        <w:rPr>
          <w:rFonts w:hint="eastAsia"/>
          <w:b/>
          <w:color w:val="auto"/>
          <w:sz w:val="24"/>
          <w:highlight w:val="none"/>
          <w:u w:val="single"/>
        </w:rPr>
        <w:t>是</w:t>
      </w:r>
      <w:r>
        <w:rPr>
          <w:b/>
          <w:color w:val="auto"/>
          <w:sz w:val="24"/>
          <w:highlight w:val="none"/>
          <w:u w:val="single"/>
        </w:rPr>
        <w:t xml:space="preserve">  </w:t>
      </w:r>
      <w:r>
        <w:rPr>
          <w:rFonts w:hint="eastAsia"/>
          <w:b/>
          <w:color w:val="auto"/>
          <w:sz w:val="24"/>
          <w:highlight w:val="none"/>
          <w:u w:val="single"/>
        </w:rPr>
        <w:t>（制造商名称）</w:t>
      </w:r>
      <w:r>
        <w:rPr>
          <w:b/>
          <w:color w:val="auto"/>
          <w:sz w:val="24"/>
          <w:highlight w:val="none"/>
          <w:u w:val="single"/>
        </w:rPr>
        <w:t xml:space="preserve"> </w:t>
      </w:r>
      <w:r>
        <w:rPr>
          <w:rFonts w:hint="eastAsia"/>
          <w:b/>
          <w:color w:val="auto"/>
          <w:sz w:val="24"/>
          <w:highlight w:val="none"/>
        </w:rPr>
        <w:t>的关联企业，</w:t>
      </w:r>
    </w:p>
    <w:p w14:paraId="0AB83172">
      <w:pPr>
        <w:spacing w:line="360" w:lineRule="auto"/>
        <w:ind w:firstLine="482" w:firstLineChars="200"/>
        <w:rPr>
          <w:b/>
          <w:color w:val="auto"/>
          <w:sz w:val="24"/>
          <w:highlight w:val="none"/>
        </w:rPr>
      </w:pPr>
      <w:r>
        <w:rPr>
          <w:rFonts w:hint="eastAsia"/>
          <w:b/>
          <w:color w:val="auto"/>
          <w:sz w:val="24"/>
          <w:highlight w:val="none"/>
        </w:rPr>
        <w:t>特此证明。</w:t>
      </w:r>
    </w:p>
    <w:p w14:paraId="24D47F10">
      <w:pPr>
        <w:spacing w:line="360" w:lineRule="auto"/>
        <w:ind w:firstLine="482" w:firstLineChars="200"/>
        <w:rPr>
          <w:b/>
          <w:color w:val="auto"/>
          <w:sz w:val="24"/>
          <w:highlight w:val="none"/>
        </w:rPr>
      </w:pPr>
    </w:p>
    <w:p w14:paraId="44197BF7">
      <w:pPr>
        <w:spacing w:line="360" w:lineRule="auto"/>
        <w:ind w:firstLine="482" w:firstLineChars="200"/>
        <w:rPr>
          <w:b/>
          <w:color w:val="auto"/>
          <w:sz w:val="24"/>
          <w:highlight w:val="none"/>
          <w:u w:val="single"/>
        </w:rPr>
      </w:pPr>
      <w:r>
        <w:rPr>
          <w:rFonts w:hint="eastAsia"/>
          <w:b/>
          <w:color w:val="auto"/>
          <w:sz w:val="24"/>
          <w:highlight w:val="none"/>
        </w:rPr>
        <w:t>制造商或制造商关联企业名称</w:t>
      </w:r>
      <w:r>
        <w:rPr>
          <w:rFonts w:hint="eastAsia"/>
          <w:b/>
          <w:color w:val="auto"/>
          <w:sz w:val="24"/>
          <w:highlight w:val="none"/>
          <w:u w:val="single"/>
        </w:rPr>
        <w:t>：</w:t>
      </w:r>
      <w:r>
        <w:rPr>
          <w:b/>
          <w:color w:val="auto"/>
          <w:sz w:val="24"/>
          <w:highlight w:val="none"/>
          <w:u w:val="single"/>
        </w:rPr>
        <w:t xml:space="preserve">                            </w:t>
      </w:r>
    </w:p>
    <w:p w14:paraId="43FD012D">
      <w:pPr>
        <w:tabs>
          <w:tab w:val="left" w:pos="5130"/>
        </w:tabs>
        <w:spacing w:line="360" w:lineRule="auto"/>
        <w:ind w:firstLine="482" w:firstLineChars="200"/>
        <w:rPr>
          <w:rFonts w:ascii="宋体" w:hAnsi="宋体" w:cs="宋体"/>
          <w:color w:val="auto"/>
          <w:sz w:val="24"/>
          <w:szCs w:val="24"/>
          <w:highlight w:val="none"/>
        </w:rPr>
      </w:pPr>
      <w:r>
        <w:rPr>
          <w:b/>
          <w:color w:val="auto"/>
          <w:sz w:val="24"/>
          <w:highlight w:val="none"/>
        </w:rPr>
        <w:t xml:space="preserve">      </w:t>
      </w:r>
      <w:r>
        <w:rPr>
          <w:rFonts w:hint="eastAsia"/>
          <w:b/>
          <w:color w:val="auto"/>
          <w:sz w:val="24"/>
          <w:highlight w:val="none"/>
        </w:rPr>
        <w:t>（盖章）</w:t>
      </w:r>
      <w:r>
        <w:rPr>
          <w:b/>
          <w:color w:val="auto"/>
          <w:sz w:val="24"/>
          <w:highlight w:val="none"/>
        </w:rPr>
        <w:t xml:space="preserve">                       </w:t>
      </w:r>
      <w:r>
        <w:rPr>
          <w:rFonts w:hint="eastAsia"/>
          <w:b/>
          <w:color w:val="auto"/>
          <w:sz w:val="24"/>
          <w:highlight w:val="none"/>
        </w:rPr>
        <w:t>日期：</w:t>
      </w:r>
    </w:p>
    <w:p w14:paraId="0A6EFCE5">
      <w:pPr>
        <w:tabs>
          <w:tab w:val="left" w:pos="5130"/>
        </w:tabs>
        <w:spacing w:line="360" w:lineRule="auto"/>
        <w:ind w:firstLine="480" w:firstLineChars="200"/>
        <w:rPr>
          <w:rFonts w:ascii="宋体" w:hAnsi="宋体" w:cs="宋体"/>
          <w:color w:val="auto"/>
          <w:sz w:val="24"/>
          <w:szCs w:val="24"/>
          <w:highlight w:val="none"/>
        </w:rPr>
      </w:pPr>
    </w:p>
    <w:p w14:paraId="02A32AA6">
      <w:pPr>
        <w:tabs>
          <w:tab w:val="left" w:pos="5130"/>
        </w:tabs>
        <w:spacing w:line="360" w:lineRule="auto"/>
        <w:ind w:firstLine="480" w:firstLineChars="200"/>
        <w:rPr>
          <w:rFonts w:ascii="宋体" w:hAnsi="宋体" w:cs="宋体"/>
          <w:color w:val="auto"/>
          <w:sz w:val="24"/>
          <w:szCs w:val="24"/>
          <w:highlight w:val="none"/>
        </w:rPr>
      </w:pPr>
    </w:p>
    <w:p w14:paraId="2472E304">
      <w:pPr>
        <w:tabs>
          <w:tab w:val="left" w:pos="5130"/>
        </w:tabs>
        <w:spacing w:line="360" w:lineRule="auto"/>
        <w:ind w:firstLine="480" w:firstLineChars="200"/>
        <w:rPr>
          <w:rFonts w:ascii="宋体" w:hAnsi="宋体" w:cs="宋体"/>
          <w:color w:val="auto"/>
          <w:sz w:val="24"/>
          <w:szCs w:val="24"/>
          <w:highlight w:val="none"/>
        </w:rPr>
      </w:pPr>
    </w:p>
    <w:p w14:paraId="41C4C917">
      <w:pPr>
        <w:tabs>
          <w:tab w:val="left" w:pos="5130"/>
        </w:tabs>
        <w:spacing w:line="360" w:lineRule="auto"/>
        <w:ind w:firstLine="480" w:firstLineChars="200"/>
        <w:rPr>
          <w:rFonts w:ascii="宋体" w:hAnsi="宋体" w:cs="宋体"/>
          <w:color w:val="auto"/>
          <w:sz w:val="24"/>
          <w:szCs w:val="24"/>
          <w:highlight w:val="none"/>
        </w:rPr>
      </w:pPr>
    </w:p>
    <w:p w14:paraId="10AFA7C5">
      <w:pPr>
        <w:tabs>
          <w:tab w:val="left" w:pos="5130"/>
        </w:tabs>
        <w:spacing w:line="360" w:lineRule="auto"/>
        <w:ind w:firstLine="480" w:firstLineChars="200"/>
        <w:rPr>
          <w:rFonts w:ascii="宋体" w:hAnsi="宋体" w:cs="宋体"/>
          <w:color w:val="auto"/>
          <w:sz w:val="24"/>
          <w:szCs w:val="24"/>
          <w:highlight w:val="none"/>
        </w:rPr>
      </w:pPr>
    </w:p>
    <w:p w14:paraId="6E5D9571">
      <w:pPr>
        <w:tabs>
          <w:tab w:val="left" w:pos="5130"/>
        </w:tabs>
        <w:spacing w:line="360" w:lineRule="auto"/>
        <w:ind w:firstLine="480" w:firstLineChars="200"/>
        <w:rPr>
          <w:rFonts w:ascii="宋体" w:hAnsi="宋体" w:cs="宋体"/>
          <w:color w:val="auto"/>
          <w:sz w:val="24"/>
          <w:szCs w:val="24"/>
          <w:highlight w:val="none"/>
        </w:rPr>
      </w:pPr>
    </w:p>
    <w:p w14:paraId="0386EA86">
      <w:pPr>
        <w:tabs>
          <w:tab w:val="left" w:pos="5130"/>
        </w:tabs>
        <w:spacing w:line="360" w:lineRule="auto"/>
        <w:ind w:firstLine="480" w:firstLineChars="200"/>
        <w:rPr>
          <w:rFonts w:ascii="宋体" w:hAnsi="宋体" w:cs="宋体"/>
          <w:color w:val="auto"/>
          <w:sz w:val="24"/>
          <w:szCs w:val="24"/>
          <w:highlight w:val="none"/>
        </w:rPr>
      </w:pPr>
    </w:p>
    <w:p w14:paraId="75CE9B51">
      <w:pPr>
        <w:tabs>
          <w:tab w:val="left" w:pos="5130"/>
        </w:tabs>
        <w:spacing w:line="360" w:lineRule="auto"/>
        <w:ind w:firstLine="480" w:firstLineChars="200"/>
        <w:rPr>
          <w:rFonts w:ascii="宋体" w:hAnsi="宋体" w:cs="宋体"/>
          <w:color w:val="auto"/>
          <w:sz w:val="24"/>
          <w:szCs w:val="24"/>
          <w:highlight w:val="none"/>
        </w:rPr>
      </w:pPr>
    </w:p>
    <w:p w14:paraId="2C3FC422">
      <w:pPr>
        <w:tabs>
          <w:tab w:val="left" w:pos="5130"/>
        </w:tabs>
        <w:spacing w:line="360" w:lineRule="auto"/>
        <w:ind w:firstLine="480" w:firstLineChars="200"/>
        <w:rPr>
          <w:rFonts w:ascii="宋体" w:hAnsi="宋体" w:cs="宋体"/>
          <w:color w:val="auto"/>
          <w:sz w:val="24"/>
          <w:szCs w:val="24"/>
          <w:highlight w:val="none"/>
        </w:rPr>
      </w:pPr>
    </w:p>
    <w:p w14:paraId="3D68358F">
      <w:pPr>
        <w:tabs>
          <w:tab w:val="left" w:pos="5130"/>
        </w:tabs>
        <w:spacing w:line="360" w:lineRule="auto"/>
        <w:ind w:firstLine="480" w:firstLineChars="200"/>
        <w:rPr>
          <w:rFonts w:ascii="宋体" w:hAnsi="宋体" w:cs="宋体"/>
          <w:color w:val="auto"/>
          <w:sz w:val="24"/>
          <w:szCs w:val="24"/>
          <w:highlight w:val="none"/>
        </w:rPr>
      </w:pPr>
    </w:p>
    <w:p w14:paraId="573E32A2">
      <w:pPr>
        <w:tabs>
          <w:tab w:val="left" w:pos="5130"/>
        </w:tabs>
        <w:spacing w:line="360" w:lineRule="auto"/>
        <w:ind w:firstLine="0" w:firstLineChars="0"/>
        <w:rPr>
          <w:rFonts w:ascii="宋体" w:hAnsi="宋体" w:cs="宋体"/>
          <w:color w:val="auto"/>
          <w:sz w:val="24"/>
          <w:szCs w:val="24"/>
          <w:highlight w:val="none"/>
        </w:rPr>
      </w:pPr>
    </w:p>
    <w:p w14:paraId="1997CE39">
      <w:pPr>
        <w:tabs>
          <w:tab w:val="left" w:pos="5130"/>
        </w:tabs>
        <w:spacing w:line="360" w:lineRule="auto"/>
        <w:ind w:firstLine="0" w:firstLineChars="0"/>
        <w:rPr>
          <w:rFonts w:ascii="宋体" w:hAnsi="宋体" w:cs="宋体"/>
          <w:color w:val="auto"/>
          <w:sz w:val="24"/>
          <w:szCs w:val="24"/>
          <w:highlight w:val="none"/>
        </w:rPr>
      </w:pPr>
    </w:p>
    <w:p w14:paraId="6A364000">
      <w:pPr>
        <w:tabs>
          <w:tab w:val="left" w:pos="5130"/>
        </w:tabs>
        <w:spacing w:line="360" w:lineRule="auto"/>
        <w:ind w:firstLine="480" w:firstLineChars="200"/>
        <w:rPr>
          <w:rFonts w:ascii="宋体" w:hAnsi="宋体" w:cs="宋体"/>
          <w:color w:val="auto"/>
          <w:sz w:val="24"/>
          <w:szCs w:val="24"/>
          <w:highlight w:val="none"/>
        </w:rPr>
      </w:pPr>
    </w:p>
    <w:p w14:paraId="197C7ACD">
      <w:pPr>
        <w:spacing w:line="360" w:lineRule="auto"/>
        <w:rPr>
          <w:rFonts w:ascii="宋体" w:hAnsi="宋体" w:cs="宋体"/>
          <w:color w:val="auto"/>
          <w:sz w:val="24"/>
          <w:szCs w:val="24"/>
          <w:highlight w:val="none"/>
        </w:rPr>
      </w:pPr>
    </w:p>
    <w:p w14:paraId="46329B44">
      <w:pPr>
        <w:spacing w:line="360" w:lineRule="auto"/>
        <w:rPr>
          <w:rFonts w:ascii="宋体" w:hAnsi="宋体" w:cs="宋体"/>
          <w:color w:val="auto"/>
          <w:sz w:val="24"/>
          <w:szCs w:val="24"/>
          <w:highlight w:val="none"/>
        </w:rPr>
      </w:pPr>
    </w:p>
    <w:p w14:paraId="185E2A32">
      <w:pPr>
        <w:spacing w:line="360" w:lineRule="auto"/>
        <w:jc w:val="center"/>
        <w:rPr>
          <w:rFonts w:ascii="宋体" w:hAnsi="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7B2CC7BF">
      <w:pPr>
        <w:numPr>
          <w:ilvl w:val="255"/>
          <w:numId w:val="0"/>
        </w:numPr>
        <w:spacing w:line="360" w:lineRule="auto"/>
        <w:ind w:firstLine="1285" w:firstLineChars="400"/>
        <w:rPr>
          <w:rFonts w:ascii="宋体" w:hAnsi="宋体" w:cs="宋体"/>
          <w:b/>
          <w:color w:val="auto"/>
          <w:sz w:val="32"/>
          <w:szCs w:val="32"/>
          <w:highlight w:val="none"/>
        </w:rPr>
      </w:pPr>
      <w:r>
        <w:rPr>
          <w:rFonts w:hint="eastAsia" w:ascii="宋体" w:hAnsi="宋体" w:cs="宋体"/>
          <w:b/>
          <w:color w:val="auto"/>
          <w:sz w:val="32"/>
          <w:szCs w:val="32"/>
          <w:highlight w:val="none"/>
        </w:rPr>
        <w:t xml:space="preserve">第四章    </w:t>
      </w:r>
      <w:bookmarkStart w:id="1" w:name="OLE_LINK266"/>
      <w:bookmarkStart w:id="2" w:name="OLE_LINK1"/>
      <w:bookmarkStart w:id="3" w:name="OLE_LINK2"/>
      <w:bookmarkStart w:id="4" w:name="OLE_LINK265"/>
      <w:r>
        <w:rPr>
          <w:rFonts w:hint="eastAsia" w:ascii="宋体" w:hAnsi="宋体" w:cs="宋体"/>
          <w:b/>
          <w:color w:val="auto"/>
          <w:sz w:val="32"/>
          <w:szCs w:val="32"/>
          <w:highlight w:val="none"/>
        </w:rPr>
        <w:t>政府采购货物采购合同</w:t>
      </w:r>
      <w:bookmarkEnd w:id="1"/>
      <w:bookmarkEnd w:id="2"/>
      <w:bookmarkEnd w:id="3"/>
      <w:bookmarkEnd w:id="4"/>
    </w:p>
    <w:p w14:paraId="723A3A22">
      <w:pPr>
        <w:numPr>
          <w:ilvl w:val="255"/>
          <w:numId w:val="0"/>
        </w:numPr>
        <w:spacing w:line="360" w:lineRule="auto"/>
        <w:rPr>
          <w:rFonts w:ascii="宋体" w:hAnsi="宋体" w:cs="宋体"/>
          <w:b/>
          <w:color w:val="auto"/>
          <w:sz w:val="32"/>
          <w:szCs w:val="32"/>
          <w:highlight w:val="none"/>
        </w:rPr>
      </w:pPr>
    </w:p>
    <w:p w14:paraId="4887FB5F">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2026年大宗喷墨打印机产品采购合同</w:t>
      </w:r>
    </w:p>
    <w:p w14:paraId="49D7DB7A">
      <w:pPr>
        <w:spacing w:line="360" w:lineRule="auto"/>
        <w:ind w:left="-284"/>
        <w:jc w:val="center"/>
        <w:rPr>
          <w:rFonts w:ascii="宋体" w:hAnsi="宋体"/>
          <w:color w:val="auto"/>
          <w:sz w:val="24"/>
          <w:szCs w:val="24"/>
          <w:highlight w:val="none"/>
        </w:rPr>
      </w:pPr>
      <w:r>
        <w:rPr>
          <w:rFonts w:hint="eastAsia" w:ascii="宋体" w:hAnsi="宋体"/>
          <w:color w:val="auto"/>
          <w:sz w:val="24"/>
          <w:szCs w:val="24"/>
          <w:highlight w:val="none"/>
        </w:rPr>
        <w:t xml:space="preserve">                                   合同编号：</w:t>
      </w:r>
    </w:p>
    <w:p w14:paraId="4CA0A9B3">
      <w:pPr>
        <w:adjustRightInd w:val="0"/>
        <w:snapToGrid w:val="0"/>
        <w:spacing w:line="360" w:lineRule="auto"/>
        <w:rPr>
          <w:rFonts w:ascii="宋体" w:hAnsi="宋体"/>
          <w:color w:val="auto"/>
          <w:sz w:val="24"/>
          <w:szCs w:val="24"/>
          <w:highlight w:val="none"/>
        </w:rPr>
      </w:pPr>
      <w:r>
        <w:rPr>
          <w:rFonts w:hint="eastAsia" w:ascii="宋体" w:hAnsi="宋体"/>
          <w:color w:val="auto"/>
          <w:sz w:val="24"/>
          <w:szCs w:val="24"/>
          <w:highlight w:val="none"/>
        </w:rPr>
        <w:t>买方：</w:t>
      </w:r>
      <w:bookmarkStart w:id="5" w:name="jf"/>
      <w:bookmarkEnd w:id="5"/>
      <w:r>
        <w:rPr>
          <w:rFonts w:hint="eastAsia" w:ascii="宋体" w:hAnsi="宋体" w:cs="宋体"/>
          <w:color w:val="auto"/>
          <w:sz w:val="24"/>
          <w:szCs w:val="24"/>
          <w:highlight w:val="none"/>
          <w:shd w:val="clear" w:color="auto" w:fill="FFFFFF"/>
        </w:rPr>
        <w:t>厦门万翔网络商务有限公司</w:t>
      </w:r>
      <w:r>
        <w:rPr>
          <w:rFonts w:hint="eastAsia" w:ascii="宋体" w:hAnsi="宋体" w:cs="宋体"/>
          <w:color w:val="auto"/>
          <w:sz w:val="24"/>
          <w:szCs w:val="24"/>
          <w:highlight w:val="none"/>
        </w:rPr>
        <w:t xml:space="preserve"> </w:t>
      </w:r>
      <w:r>
        <w:rPr>
          <w:rFonts w:hint="eastAsia" w:ascii="宋体" w:hAnsi="宋体" w:cs="宋体"/>
          <w:color w:val="auto"/>
          <w:sz w:val="48"/>
          <w:szCs w:val="48"/>
          <w:highlight w:val="none"/>
        </w:rPr>
        <w:t xml:space="preserve">    </w:t>
      </w:r>
      <w:r>
        <w:rPr>
          <w:rFonts w:hint="eastAsia" w:ascii="宋体" w:hAnsi="宋体"/>
          <w:color w:val="auto"/>
          <w:sz w:val="24"/>
          <w:szCs w:val="24"/>
          <w:highlight w:val="none"/>
        </w:rPr>
        <w:t xml:space="preserve">           </w:t>
      </w:r>
    </w:p>
    <w:p w14:paraId="74F15A77">
      <w:pPr>
        <w:adjustRightInd w:val="0"/>
        <w:snapToGrid w:val="0"/>
        <w:spacing w:line="360" w:lineRule="auto"/>
        <w:jc w:val="left"/>
        <w:rPr>
          <w:rFonts w:ascii="宋体" w:hAnsi="宋体"/>
          <w:color w:val="auto"/>
          <w:sz w:val="24"/>
          <w:szCs w:val="24"/>
          <w:highlight w:val="none"/>
        </w:rPr>
      </w:pPr>
      <w:r>
        <w:rPr>
          <w:rFonts w:hint="eastAsia" w:ascii="宋体" w:hAnsi="宋体"/>
          <w:color w:val="auto"/>
          <w:sz w:val="24"/>
          <w:szCs w:val="24"/>
          <w:highlight w:val="none"/>
        </w:rPr>
        <w:t>卖方：</w:t>
      </w:r>
    </w:p>
    <w:p w14:paraId="044E47EC">
      <w:pPr>
        <w:adjustRightInd w:val="0"/>
        <w:snapToGrid w:val="0"/>
        <w:spacing w:line="360" w:lineRule="auto"/>
        <w:ind w:firstLine="480"/>
        <w:rPr>
          <w:rFonts w:ascii="宋体" w:hAnsi="宋体"/>
          <w:color w:val="auto"/>
          <w:sz w:val="24"/>
          <w:szCs w:val="24"/>
          <w:highlight w:val="none"/>
        </w:rPr>
      </w:pPr>
      <w:r>
        <w:rPr>
          <w:rFonts w:hint="eastAsia" w:ascii="宋体" w:hAnsi="宋体"/>
          <w:color w:val="auto"/>
          <w:sz w:val="24"/>
          <w:szCs w:val="24"/>
          <w:highlight w:val="none"/>
        </w:rPr>
        <w:t>根据买方对进行采购（招标/项目编号：）的采购结果，现依照招标/采购文件、投标/报价文件及有关法律、法规、规章规定的内容，双方达成如下协议：</w:t>
      </w:r>
    </w:p>
    <w:p w14:paraId="2E31D8AB">
      <w:pPr>
        <w:numPr>
          <w:ilvl w:val="0"/>
          <w:numId w:val="2"/>
        </w:numPr>
        <w:adjustRightInd w:val="0"/>
        <w:snapToGrid w:val="0"/>
        <w:spacing w:line="360" w:lineRule="auto"/>
        <w:rPr>
          <w:rFonts w:ascii="宋体" w:hAnsi="宋体"/>
          <w:b/>
          <w:color w:val="auto"/>
          <w:sz w:val="24"/>
          <w:szCs w:val="24"/>
          <w:highlight w:val="none"/>
        </w:rPr>
      </w:pPr>
      <w:r>
        <w:rPr>
          <w:rFonts w:hint="eastAsia" w:ascii="宋体" w:hAnsi="宋体"/>
          <w:b/>
          <w:color w:val="auto"/>
          <w:sz w:val="24"/>
          <w:szCs w:val="24"/>
          <w:highlight w:val="none"/>
        </w:rPr>
        <w:t>合同标的物和合同价格</w:t>
      </w:r>
    </w:p>
    <w:tbl>
      <w:tblPr>
        <w:tblStyle w:val="12"/>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460"/>
        <w:gridCol w:w="1760"/>
        <w:gridCol w:w="1418"/>
        <w:gridCol w:w="1289"/>
        <w:gridCol w:w="1283"/>
        <w:gridCol w:w="1350"/>
      </w:tblGrid>
      <w:tr w14:paraId="5CAF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60" w:type="dxa"/>
            <w:vAlign w:val="center"/>
          </w:tcPr>
          <w:p w14:paraId="3BD26CAE">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品目号</w:t>
            </w:r>
          </w:p>
        </w:tc>
        <w:tc>
          <w:tcPr>
            <w:tcW w:w="1460" w:type="dxa"/>
            <w:vAlign w:val="center"/>
          </w:tcPr>
          <w:p w14:paraId="7A08961B">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产品名称</w:t>
            </w:r>
          </w:p>
        </w:tc>
        <w:tc>
          <w:tcPr>
            <w:tcW w:w="1760" w:type="dxa"/>
            <w:vAlign w:val="center"/>
          </w:tcPr>
          <w:p w14:paraId="048E4407">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规格型号</w:t>
            </w:r>
          </w:p>
        </w:tc>
        <w:tc>
          <w:tcPr>
            <w:tcW w:w="1418" w:type="dxa"/>
            <w:vAlign w:val="center"/>
          </w:tcPr>
          <w:p w14:paraId="344EC78C">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289" w:type="dxa"/>
            <w:vAlign w:val="center"/>
          </w:tcPr>
          <w:p w14:paraId="14E60E79">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单价</w:t>
            </w:r>
          </w:p>
          <w:p w14:paraId="539B4C43">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（元/台）</w:t>
            </w:r>
          </w:p>
        </w:tc>
        <w:tc>
          <w:tcPr>
            <w:tcW w:w="1283" w:type="dxa"/>
            <w:vAlign w:val="center"/>
          </w:tcPr>
          <w:p w14:paraId="1359D322">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p w14:paraId="2BEE0068">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（台）</w:t>
            </w:r>
          </w:p>
        </w:tc>
        <w:tc>
          <w:tcPr>
            <w:tcW w:w="1350" w:type="dxa"/>
            <w:vAlign w:val="center"/>
          </w:tcPr>
          <w:p w14:paraId="781216FF">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总金额（元）</w:t>
            </w:r>
          </w:p>
        </w:tc>
      </w:tr>
      <w:tr w14:paraId="4478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60" w:type="dxa"/>
            <w:vAlign w:val="center"/>
          </w:tcPr>
          <w:p w14:paraId="27757335">
            <w:pPr>
              <w:widowControl/>
              <w:adjustRightInd w:val="0"/>
              <w:snapToGrid w:val="0"/>
              <w:spacing w:line="360" w:lineRule="auto"/>
              <w:jc w:val="center"/>
              <w:rPr>
                <w:rFonts w:ascii="宋体" w:hAnsi="宋体" w:cs="宋体"/>
                <w:color w:val="auto"/>
                <w:kern w:val="0"/>
                <w:sz w:val="24"/>
                <w:szCs w:val="24"/>
                <w:highlight w:val="none"/>
              </w:rPr>
            </w:pPr>
          </w:p>
        </w:tc>
        <w:tc>
          <w:tcPr>
            <w:tcW w:w="1460" w:type="dxa"/>
            <w:vAlign w:val="center"/>
          </w:tcPr>
          <w:p w14:paraId="69A1F66D">
            <w:pPr>
              <w:widowControl/>
              <w:jc w:val="center"/>
              <w:textAlignment w:val="center"/>
              <w:rPr>
                <w:rFonts w:ascii="宋体" w:hAnsi="宋体" w:cs="宋体"/>
                <w:color w:val="auto"/>
                <w:kern w:val="0"/>
                <w:sz w:val="24"/>
                <w:szCs w:val="24"/>
                <w:highlight w:val="none"/>
              </w:rPr>
            </w:pPr>
          </w:p>
        </w:tc>
        <w:tc>
          <w:tcPr>
            <w:tcW w:w="1760" w:type="dxa"/>
            <w:vAlign w:val="center"/>
          </w:tcPr>
          <w:p w14:paraId="131A0B34">
            <w:pPr>
              <w:widowControl/>
              <w:jc w:val="center"/>
              <w:textAlignment w:val="center"/>
              <w:rPr>
                <w:rFonts w:ascii="宋体" w:hAnsi="宋体" w:cs="宋体"/>
                <w:color w:val="auto"/>
                <w:kern w:val="0"/>
                <w:sz w:val="24"/>
                <w:szCs w:val="24"/>
                <w:highlight w:val="none"/>
              </w:rPr>
            </w:pPr>
          </w:p>
        </w:tc>
        <w:tc>
          <w:tcPr>
            <w:tcW w:w="1418" w:type="dxa"/>
            <w:vMerge w:val="restart"/>
            <w:vAlign w:val="center"/>
          </w:tcPr>
          <w:p w14:paraId="30D4DA3E">
            <w:pPr>
              <w:widowControl/>
              <w:adjustRightInd w:val="0"/>
              <w:snapToGrid w:val="0"/>
              <w:spacing w:line="360" w:lineRule="auto"/>
              <w:jc w:val="center"/>
              <w:rPr>
                <w:rFonts w:ascii="宋体" w:hAnsi="宋体" w:cs="宋体"/>
                <w:color w:val="auto"/>
                <w:kern w:val="0"/>
                <w:szCs w:val="21"/>
                <w:highlight w:val="none"/>
              </w:rPr>
            </w:pPr>
          </w:p>
        </w:tc>
        <w:tc>
          <w:tcPr>
            <w:tcW w:w="1289" w:type="dxa"/>
            <w:vAlign w:val="center"/>
          </w:tcPr>
          <w:p w14:paraId="2BD10253">
            <w:pPr>
              <w:widowControl/>
              <w:jc w:val="center"/>
              <w:textAlignment w:val="center"/>
              <w:rPr>
                <w:rFonts w:ascii="宋体" w:hAnsi="宋体" w:cs="宋体"/>
                <w:color w:val="auto"/>
                <w:kern w:val="0"/>
                <w:sz w:val="20"/>
                <w:szCs w:val="20"/>
                <w:highlight w:val="none"/>
              </w:rPr>
            </w:pPr>
          </w:p>
        </w:tc>
        <w:tc>
          <w:tcPr>
            <w:tcW w:w="1283" w:type="dxa"/>
            <w:vAlign w:val="center"/>
          </w:tcPr>
          <w:p w14:paraId="256B1590">
            <w:pPr>
              <w:widowControl/>
              <w:jc w:val="center"/>
              <w:textAlignment w:val="center"/>
              <w:rPr>
                <w:rFonts w:ascii="宋体" w:hAnsi="宋体" w:cs="宋体"/>
                <w:color w:val="auto"/>
                <w:kern w:val="0"/>
                <w:sz w:val="20"/>
                <w:szCs w:val="20"/>
                <w:highlight w:val="none"/>
              </w:rPr>
            </w:pPr>
          </w:p>
        </w:tc>
        <w:tc>
          <w:tcPr>
            <w:tcW w:w="1350" w:type="dxa"/>
            <w:vAlign w:val="center"/>
          </w:tcPr>
          <w:p w14:paraId="5A78E91C">
            <w:pPr>
              <w:widowControl/>
              <w:jc w:val="center"/>
              <w:textAlignment w:val="center"/>
              <w:rPr>
                <w:rFonts w:ascii="宋体" w:hAnsi="宋体" w:cs="宋体"/>
                <w:color w:val="auto"/>
                <w:kern w:val="0"/>
                <w:sz w:val="20"/>
                <w:szCs w:val="20"/>
                <w:highlight w:val="none"/>
              </w:rPr>
            </w:pPr>
          </w:p>
        </w:tc>
      </w:tr>
      <w:tr w14:paraId="2253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560" w:type="dxa"/>
            <w:vAlign w:val="center"/>
          </w:tcPr>
          <w:p w14:paraId="45074C18">
            <w:pPr>
              <w:widowControl/>
              <w:adjustRightInd w:val="0"/>
              <w:snapToGrid w:val="0"/>
              <w:spacing w:line="360" w:lineRule="auto"/>
              <w:jc w:val="center"/>
              <w:rPr>
                <w:rFonts w:ascii="宋体" w:hAnsi="宋体" w:cs="宋体"/>
                <w:color w:val="auto"/>
                <w:kern w:val="0"/>
                <w:sz w:val="24"/>
                <w:szCs w:val="24"/>
                <w:highlight w:val="none"/>
              </w:rPr>
            </w:pPr>
          </w:p>
        </w:tc>
        <w:tc>
          <w:tcPr>
            <w:tcW w:w="1460" w:type="dxa"/>
            <w:vAlign w:val="center"/>
          </w:tcPr>
          <w:p w14:paraId="0D1F70E6">
            <w:pPr>
              <w:widowControl/>
              <w:jc w:val="center"/>
              <w:textAlignment w:val="center"/>
              <w:rPr>
                <w:rFonts w:ascii="宋体" w:hAnsi="宋体" w:cs="宋体"/>
                <w:color w:val="auto"/>
                <w:kern w:val="0"/>
                <w:sz w:val="24"/>
                <w:szCs w:val="24"/>
                <w:highlight w:val="none"/>
              </w:rPr>
            </w:pPr>
          </w:p>
        </w:tc>
        <w:tc>
          <w:tcPr>
            <w:tcW w:w="1760" w:type="dxa"/>
            <w:vAlign w:val="center"/>
          </w:tcPr>
          <w:p w14:paraId="02909CE0">
            <w:pPr>
              <w:widowControl/>
              <w:jc w:val="center"/>
              <w:textAlignment w:val="center"/>
              <w:rPr>
                <w:rFonts w:ascii="宋体" w:hAnsi="宋体" w:cs="宋体"/>
                <w:color w:val="auto"/>
                <w:kern w:val="0"/>
                <w:sz w:val="24"/>
                <w:szCs w:val="24"/>
                <w:highlight w:val="none"/>
              </w:rPr>
            </w:pPr>
          </w:p>
        </w:tc>
        <w:tc>
          <w:tcPr>
            <w:tcW w:w="1418" w:type="dxa"/>
            <w:vMerge w:val="continue"/>
            <w:vAlign w:val="center"/>
          </w:tcPr>
          <w:p w14:paraId="5C3F1F48">
            <w:pPr>
              <w:widowControl/>
              <w:adjustRightInd w:val="0"/>
              <w:snapToGrid w:val="0"/>
              <w:spacing w:line="360" w:lineRule="auto"/>
              <w:jc w:val="center"/>
              <w:rPr>
                <w:rFonts w:ascii="宋体" w:hAnsi="宋体"/>
                <w:color w:val="auto"/>
                <w:sz w:val="24"/>
                <w:szCs w:val="24"/>
                <w:highlight w:val="none"/>
              </w:rPr>
            </w:pPr>
          </w:p>
        </w:tc>
        <w:tc>
          <w:tcPr>
            <w:tcW w:w="1289" w:type="dxa"/>
            <w:vAlign w:val="center"/>
          </w:tcPr>
          <w:p w14:paraId="4E70E2A8">
            <w:pPr>
              <w:widowControl/>
              <w:jc w:val="center"/>
              <w:textAlignment w:val="center"/>
              <w:rPr>
                <w:rFonts w:ascii="宋体" w:hAnsi="宋体" w:cs="宋体"/>
                <w:color w:val="auto"/>
                <w:kern w:val="0"/>
                <w:sz w:val="20"/>
                <w:szCs w:val="20"/>
                <w:highlight w:val="none"/>
              </w:rPr>
            </w:pPr>
          </w:p>
        </w:tc>
        <w:tc>
          <w:tcPr>
            <w:tcW w:w="1283" w:type="dxa"/>
            <w:vAlign w:val="center"/>
          </w:tcPr>
          <w:p w14:paraId="5B5D26BC">
            <w:pPr>
              <w:widowControl/>
              <w:jc w:val="center"/>
              <w:textAlignment w:val="center"/>
              <w:rPr>
                <w:rFonts w:ascii="宋体" w:hAnsi="宋体" w:cs="宋体"/>
                <w:color w:val="auto"/>
                <w:kern w:val="0"/>
                <w:sz w:val="20"/>
                <w:szCs w:val="20"/>
                <w:highlight w:val="none"/>
              </w:rPr>
            </w:pPr>
          </w:p>
        </w:tc>
        <w:tc>
          <w:tcPr>
            <w:tcW w:w="1350" w:type="dxa"/>
            <w:vAlign w:val="center"/>
          </w:tcPr>
          <w:p w14:paraId="1192D343">
            <w:pPr>
              <w:widowControl/>
              <w:jc w:val="center"/>
              <w:textAlignment w:val="center"/>
              <w:rPr>
                <w:rFonts w:ascii="宋体" w:hAnsi="宋体" w:cs="宋体"/>
                <w:color w:val="auto"/>
                <w:kern w:val="0"/>
                <w:sz w:val="20"/>
                <w:szCs w:val="20"/>
                <w:highlight w:val="none"/>
              </w:rPr>
            </w:pPr>
          </w:p>
        </w:tc>
      </w:tr>
      <w:tr w14:paraId="7036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560" w:type="dxa"/>
            <w:vAlign w:val="center"/>
          </w:tcPr>
          <w:p w14:paraId="670EA62B">
            <w:pPr>
              <w:widowControl/>
              <w:adjustRightInd w:val="0"/>
              <w:snapToGrid w:val="0"/>
              <w:spacing w:line="360" w:lineRule="auto"/>
              <w:jc w:val="center"/>
              <w:rPr>
                <w:rFonts w:ascii="宋体" w:hAnsi="宋体" w:cs="宋体"/>
                <w:color w:val="auto"/>
                <w:kern w:val="0"/>
                <w:sz w:val="24"/>
                <w:szCs w:val="24"/>
                <w:highlight w:val="none"/>
              </w:rPr>
            </w:pPr>
          </w:p>
        </w:tc>
        <w:tc>
          <w:tcPr>
            <w:tcW w:w="1460" w:type="dxa"/>
            <w:vAlign w:val="center"/>
          </w:tcPr>
          <w:p w14:paraId="00F4B06E">
            <w:pPr>
              <w:widowControl/>
              <w:jc w:val="center"/>
              <w:textAlignment w:val="center"/>
              <w:rPr>
                <w:rFonts w:ascii="宋体" w:hAnsi="宋体" w:cs="宋体"/>
                <w:color w:val="auto"/>
                <w:kern w:val="0"/>
                <w:sz w:val="24"/>
                <w:szCs w:val="24"/>
                <w:highlight w:val="none"/>
              </w:rPr>
            </w:pPr>
          </w:p>
        </w:tc>
        <w:tc>
          <w:tcPr>
            <w:tcW w:w="1760" w:type="dxa"/>
            <w:vAlign w:val="center"/>
          </w:tcPr>
          <w:p w14:paraId="5E9780B8">
            <w:pPr>
              <w:widowControl/>
              <w:jc w:val="center"/>
              <w:textAlignment w:val="center"/>
              <w:rPr>
                <w:rFonts w:ascii="宋体" w:hAnsi="宋体" w:cs="宋体"/>
                <w:color w:val="auto"/>
                <w:kern w:val="0"/>
                <w:sz w:val="24"/>
                <w:szCs w:val="24"/>
                <w:highlight w:val="none"/>
              </w:rPr>
            </w:pPr>
          </w:p>
        </w:tc>
        <w:tc>
          <w:tcPr>
            <w:tcW w:w="1418" w:type="dxa"/>
            <w:vMerge w:val="continue"/>
            <w:vAlign w:val="center"/>
          </w:tcPr>
          <w:p w14:paraId="6FC1D6B1">
            <w:pPr>
              <w:widowControl/>
              <w:adjustRightInd w:val="0"/>
              <w:snapToGrid w:val="0"/>
              <w:spacing w:line="360" w:lineRule="auto"/>
              <w:jc w:val="center"/>
              <w:rPr>
                <w:rFonts w:ascii="宋体" w:hAnsi="宋体"/>
                <w:color w:val="auto"/>
                <w:sz w:val="24"/>
                <w:szCs w:val="24"/>
                <w:highlight w:val="none"/>
              </w:rPr>
            </w:pPr>
          </w:p>
        </w:tc>
        <w:tc>
          <w:tcPr>
            <w:tcW w:w="1289" w:type="dxa"/>
            <w:vAlign w:val="center"/>
          </w:tcPr>
          <w:p w14:paraId="471FADA9">
            <w:pPr>
              <w:widowControl/>
              <w:jc w:val="center"/>
              <w:textAlignment w:val="center"/>
              <w:rPr>
                <w:rFonts w:ascii="宋体" w:hAnsi="宋体" w:cs="宋体"/>
                <w:color w:val="auto"/>
                <w:kern w:val="0"/>
                <w:sz w:val="20"/>
                <w:szCs w:val="20"/>
                <w:highlight w:val="none"/>
              </w:rPr>
            </w:pPr>
          </w:p>
        </w:tc>
        <w:tc>
          <w:tcPr>
            <w:tcW w:w="1283" w:type="dxa"/>
            <w:vAlign w:val="center"/>
          </w:tcPr>
          <w:p w14:paraId="4E4E0E4C">
            <w:pPr>
              <w:widowControl/>
              <w:jc w:val="center"/>
              <w:textAlignment w:val="center"/>
              <w:rPr>
                <w:rFonts w:ascii="宋体" w:hAnsi="宋体" w:cs="宋体"/>
                <w:color w:val="auto"/>
                <w:kern w:val="0"/>
                <w:sz w:val="20"/>
                <w:szCs w:val="20"/>
                <w:highlight w:val="none"/>
              </w:rPr>
            </w:pPr>
          </w:p>
        </w:tc>
        <w:tc>
          <w:tcPr>
            <w:tcW w:w="1350" w:type="dxa"/>
            <w:vAlign w:val="center"/>
          </w:tcPr>
          <w:p w14:paraId="5165B521">
            <w:pPr>
              <w:widowControl/>
              <w:jc w:val="center"/>
              <w:textAlignment w:val="center"/>
              <w:rPr>
                <w:rFonts w:ascii="宋体" w:hAnsi="宋体" w:cs="宋体"/>
                <w:color w:val="auto"/>
                <w:kern w:val="0"/>
                <w:sz w:val="20"/>
                <w:szCs w:val="20"/>
                <w:highlight w:val="none"/>
              </w:rPr>
            </w:pPr>
          </w:p>
        </w:tc>
      </w:tr>
      <w:tr w14:paraId="4EB3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198" w:type="dxa"/>
            <w:gridSpan w:val="4"/>
            <w:vAlign w:val="center"/>
          </w:tcPr>
          <w:p w14:paraId="5261110D">
            <w:pPr>
              <w:widowControl/>
              <w:adjustRightInd w:val="0"/>
              <w:snapToGrid w:val="0"/>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合计：</w:t>
            </w:r>
          </w:p>
        </w:tc>
        <w:tc>
          <w:tcPr>
            <w:tcW w:w="1289" w:type="dxa"/>
            <w:vAlign w:val="center"/>
          </w:tcPr>
          <w:p w14:paraId="4248C574">
            <w:pPr>
              <w:widowControl/>
              <w:jc w:val="center"/>
              <w:textAlignment w:val="center"/>
              <w:rPr>
                <w:rFonts w:ascii="宋体" w:hAnsi="宋体" w:cs="宋体"/>
                <w:color w:val="auto"/>
                <w:kern w:val="0"/>
                <w:sz w:val="20"/>
                <w:szCs w:val="20"/>
                <w:highlight w:val="none"/>
              </w:rPr>
            </w:pPr>
          </w:p>
        </w:tc>
        <w:tc>
          <w:tcPr>
            <w:tcW w:w="1283" w:type="dxa"/>
            <w:vAlign w:val="center"/>
          </w:tcPr>
          <w:p w14:paraId="0A6B2FA7">
            <w:pPr>
              <w:widowControl/>
              <w:jc w:val="center"/>
              <w:textAlignment w:val="center"/>
              <w:rPr>
                <w:rFonts w:ascii="宋体" w:hAnsi="宋体" w:cs="宋体"/>
                <w:color w:val="auto"/>
                <w:kern w:val="0"/>
                <w:sz w:val="20"/>
                <w:szCs w:val="20"/>
                <w:highlight w:val="none"/>
              </w:rPr>
            </w:pPr>
          </w:p>
        </w:tc>
        <w:tc>
          <w:tcPr>
            <w:tcW w:w="1350" w:type="dxa"/>
            <w:vAlign w:val="center"/>
          </w:tcPr>
          <w:p w14:paraId="5CDF5AF2">
            <w:pPr>
              <w:widowControl/>
              <w:jc w:val="center"/>
              <w:textAlignment w:val="center"/>
              <w:rPr>
                <w:rFonts w:ascii="宋体" w:hAnsi="宋体" w:cs="宋体"/>
                <w:color w:val="auto"/>
                <w:kern w:val="0"/>
                <w:sz w:val="20"/>
                <w:szCs w:val="20"/>
                <w:highlight w:val="none"/>
              </w:rPr>
            </w:pPr>
          </w:p>
        </w:tc>
      </w:tr>
      <w:tr w14:paraId="4C42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120" w:type="dxa"/>
            <w:gridSpan w:val="7"/>
            <w:vAlign w:val="center"/>
          </w:tcPr>
          <w:p w14:paraId="51ECA401">
            <w:pPr>
              <w:widowControl/>
              <w:adjustRightInd w:val="0"/>
              <w:snapToGrid w:val="0"/>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合同总价： XX元整</w:t>
            </w:r>
          </w:p>
        </w:tc>
      </w:tr>
      <w:tr w14:paraId="5DCA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0120" w:type="dxa"/>
            <w:gridSpan w:val="7"/>
            <w:vAlign w:val="center"/>
          </w:tcPr>
          <w:p w14:paraId="568C5E44">
            <w:pPr>
              <w:adjustRightInd w:val="0"/>
              <w:snapToGrid w:val="0"/>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备注：</w:t>
            </w:r>
          </w:p>
          <w:p w14:paraId="11AF551D">
            <w:pPr>
              <w:adjustRightInd w:val="0"/>
              <w:snapToGrid w:val="0"/>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合同单价为综合单价，为经最终验收合格并交付使用所有可能发生的费用，包括设备费、运送至买方指定地点的运输费（含二次配送费用、仓储操作费）、装卸费、保险费、采购保管、安装调试、产品检验检测、税收以及售后服务等一切费用。上表数量为暂定数量，买方可根据实际需求情况对各规格型号的产品数量进行调整，买方将按实际最终验收合格的数量和综合单价进行结算。</w:t>
            </w:r>
          </w:p>
          <w:p w14:paraId="63927A2A">
            <w:pPr>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2、买方有权向厦门市政府机关事业单位进行供货，卖方须提供相应的安装及售后服务保障。</w:t>
            </w:r>
          </w:p>
          <w:p w14:paraId="41DF4423">
            <w:pPr>
              <w:adjustRightInd w:val="0"/>
              <w:snapToGrid w:val="0"/>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具体技术参数详见附件1。卖方应免费向买方提供附件1内1-1、1-3两个型号备用机各1台，备用机应与首批《定货单》确定的货物一同交付，卖方逾期交付备用机的，买方有权直接扣除卖方相应金额的履约保证金，针对合同标的物的各条款同样适用于备用机。保修期满后，备用机归买方所有。</w:t>
            </w:r>
          </w:p>
          <w:p w14:paraId="6A9EA9C8">
            <w:pPr>
              <w:adjustRightInd w:val="0"/>
              <w:snapToGrid w:val="0"/>
              <w:spacing w:line="360" w:lineRule="auto"/>
              <w:rPr>
                <w:rFonts w:ascii="宋体" w:hAnsi="宋体" w:cs="宋体"/>
                <w:color w:val="auto"/>
                <w:kern w:val="0"/>
                <w:sz w:val="24"/>
                <w:szCs w:val="24"/>
                <w:highlight w:val="none"/>
              </w:rPr>
            </w:pPr>
            <w:r>
              <w:rPr>
                <w:rFonts w:ascii="宋体" w:hAnsi="宋体" w:cs="宋体"/>
                <w:color w:val="auto"/>
                <w:kern w:val="0"/>
                <w:sz w:val="24"/>
                <w:szCs w:val="24"/>
                <w:highlight w:val="none"/>
              </w:rPr>
              <w:t>4</w:t>
            </w:r>
            <w:r>
              <w:rPr>
                <w:rFonts w:hint="eastAsia" w:ascii="宋体" w:hAnsi="宋体" w:cs="宋体"/>
                <w:color w:val="auto"/>
                <w:kern w:val="0"/>
                <w:sz w:val="24"/>
                <w:szCs w:val="24"/>
                <w:highlight w:val="none"/>
              </w:rPr>
              <w:t>、合同期内，每</w:t>
            </w:r>
            <w:r>
              <w:rPr>
                <w:rFonts w:ascii="宋体" w:hAnsi="宋体" w:cs="宋体"/>
                <w:color w:val="auto"/>
                <w:kern w:val="0"/>
                <w:sz w:val="24"/>
                <w:szCs w:val="24"/>
                <w:highlight w:val="none"/>
              </w:rPr>
              <w:t>两</w:t>
            </w:r>
            <w:r>
              <w:rPr>
                <w:rFonts w:hint="eastAsia" w:ascii="宋体" w:hAnsi="宋体" w:cs="宋体"/>
                <w:color w:val="auto"/>
                <w:kern w:val="0"/>
                <w:sz w:val="24"/>
                <w:szCs w:val="24"/>
                <w:highlight w:val="none"/>
              </w:rPr>
              <w:t>个月买方可根据市场行情变化，与卖方就产品单价进行重新谈判，价格不得高于本合同约定的单价。</w:t>
            </w:r>
          </w:p>
          <w:p w14:paraId="213BEF84">
            <w:pPr>
              <w:adjustRightInd w:val="0"/>
              <w:snapToGrid w:val="0"/>
              <w:spacing w:line="360" w:lineRule="auto"/>
              <w:rPr>
                <w:rFonts w:ascii="宋体" w:hAnsi="宋体" w:cs="宋体"/>
                <w:color w:val="auto"/>
                <w:sz w:val="24"/>
                <w:highlight w:val="none"/>
              </w:rPr>
            </w:pPr>
            <w:r>
              <w:rPr>
                <w:rFonts w:ascii="宋体" w:hAnsi="宋体" w:cs="宋体"/>
                <w:color w:val="auto"/>
                <w:kern w:val="0"/>
                <w:sz w:val="24"/>
                <w:szCs w:val="24"/>
                <w:highlight w:val="none"/>
              </w:rPr>
              <w:t>5</w:t>
            </w:r>
            <w:r>
              <w:rPr>
                <w:rFonts w:hint="eastAsia" w:ascii="宋体" w:hAnsi="宋体" w:cs="宋体"/>
                <w:color w:val="auto"/>
                <w:kern w:val="0"/>
                <w:sz w:val="24"/>
                <w:szCs w:val="24"/>
                <w:highlight w:val="none"/>
              </w:rPr>
              <w:t>、</w:t>
            </w:r>
            <w:r>
              <w:rPr>
                <w:rFonts w:hint="eastAsia" w:ascii="宋体" w:hAnsi="宋体" w:cs="宋体"/>
                <w:color w:val="auto"/>
                <w:sz w:val="24"/>
                <w:highlight w:val="none"/>
              </w:rPr>
              <w:t>合同期内，遇卖方下调合同相关型号货物价格，卖方应在2个工作日内将新的价格以书面形式告知买方，经买方确认后按最新价格进行供货并结算。一旦买方发现合同结算单价高于其它同类销售渠道或主流网站（京东、苏宁易购、国美、天猫）等的常规销售价格，买方有权要求卖方按照主流网站的最低价格再下浮</w:t>
            </w:r>
            <w:r>
              <w:rPr>
                <w:rFonts w:ascii="宋体" w:hAnsi="宋体" w:cs="宋体"/>
                <w:color w:val="auto"/>
                <w:sz w:val="24"/>
                <w:highlight w:val="none"/>
              </w:rPr>
              <w:t>3</w:t>
            </w:r>
            <w:r>
              <w:rPr>
                <w:rFonts w:hint="eastAsia" w:ascii="宋体" w:hAnsi="宋体" w:cs="宋体"/>
                <w:color w:val="auto"/>
                <w:sz w:val="24"/>
                <w:highlight w:val="none"/>
              </w:rPr>
              <w:t>%作为合同货物的结算价格，如卖方拒绝调整或双方就价格调整无法协商一致的，卖方应按逾期天数，每日承担相当于4.1条约定的履约保证金总金额0.5%的违约金，同时买方有权终止本合同，不视为买方违约。</w:t>
            </w:r>
          </w:p>
          <w:p w14:paraId="66B3A94A">
            <w:pPr>
              <w:adjustRightInd w:val="0"/>
              <w:snapToGrid w:val="0"/>
              <w:spacing w:line="360" w:lineRule="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6、本合同有效期：2年，自</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202</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年</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月</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日至</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202</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年</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 xml:space="preserve">月 </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日。</w:t>
            </w:r>
            <w:r>
              <w:rPr>
                <w:rFonts w:hint="eastAsia" w:ascii="宋体" w:hAnsi="宋体"/>
                <w:color w:val="auto"/>
                <w:kern w:val="0"/>
                <w:sz w:val="24"/>
                <w:szCs w:val="24"/>
                <w:highlight w:val="none"/>
              </w:rPr>
              <w:t>若合同到期之日下一期采购合同尚未生效，本合同自动顺延至下一期新的合同生效之日止。</w:t>
            </w:r>
          </w:p>
        </w:tc>
      </w:tr>
    </w:tbl>
    <w:p w14:paraId="0E0E9C9D">
      <w:pPr>
        <w:adjustRightInd w:val="0"/>
        <w:snapToGrid w:val="0"/>
        <w:spacing w:line="360" w:lineRule="auto"/>
        <w:rPr>
          <w:rFonts w:ascii="宋体" w:hAnsi="宋体"/>
          <w:b/>
          <w:color w:val="auto"/>
          <w:sz w:val="24"/>
          <w:szCs w:val="24"/>
          <w:highlight w:val="none"/>
        </w:rPr>
      </w:pPr>
      <w:r>
        <w:rPr>
          <w:rFonts w:ascii="宋体" w:hAnsi="宋体"/>
          <w:b/>
          <w:color w:val="auto"/>
          <w:sz w:val="24"/>
          <w:szCs w:val="24"/>
          <w:highlight w:val="none"/>
        </w:rPr>
        <w:t>  </w:t>
      </w:r>
    </w:p>
    <w:p w14:paraId="1A476526">
      <w:pPr>
        <w:adjustRightInd w:val="0"/>
        <w:snapToGrid w:val="0"/>
        <w:spacing w:beforeLines="50" w:line="360" w:lineRule="auto"/>
        <w:rPr>
          <w:rFonts w:ascii="宋体" w:hAnsi="宋体"/>
          <w:b/>
          <w:color w:val="auto"/>
          <w:sz w:val="24"/>
          <w:szCs w:val="24"/>
          <w:highlight w:val="none"/>
        </w:rPr>
      </w:pPr>
      <w:r>
        <w:rPr>
          <w:rFonts w:hint="eastAsia" w:ascii="宋体" w:hAnsi="宋体"/>
          <w:b/>
          <w:color w:val="auto"/>
          <w:sz w:val="24"/>
          <w:szCs w:val="24"/>
          <w:highlight w:val="none"/>
        </w:rPr>
        <w:t>2、交货方式</w:t>
      </w:r>
    </w:p>
    <w:p w14:paraId="566E54D7">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2.1卖方按买方要求分批次供货。卖方送货至买方指定地点。</w:t>
      </w:r>
    </w:p>
    <w:p w14:paraId="1AB67AEA">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2.1.1买方向卖方提交《定货单》的方式包括：合同书《定货单》形式、电子数据《定货单》形式等。以上所有《定货单》均适用于本合同。</w:t>
      </w:r>
    </w:p>
    <w:p w14:paraId="4F58AB6B">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2.1.2合同书《定货单》形式，指买方向卖方提交加盖买方有效印章的《定货单》。</w:t>
      </w:r>
    </w:p>
    <w:p w14:paraId="671ACEEF">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2.1.3电子数据《定货单》形式：指买方通过指定的邮箱、微信等方式向卖方提交加盖买方有效印章的《定货单》扫描件。</w:t>
      </w:r>
    </w:p>
    <w:p w14:paraId="1D361F47">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   </w:t>
      </w:r>
    </w:p>
    <w:tbl>
      <w:tblPr>
        <w:tblStyle w:val="12"/>
        <w:tblW w:w="8344" w:type="dxa"/>
        <w:tblInd w:w="299" w:type="dxa"/>
        <w:tblLayout w:type="fixed"/>
        <w:tblCellMar>
          <w:top w:w="0" w:type="dxa"/>
          <w:left w:w="0" w:type="dxa"/>
          <w:bottom w:w="0" w:type="dxa"/>
          <w:right w:w="0" w:type="dxa"/>
        </w:tblCellMar>
      </w:tblPr>
      <w:tblGrid>
        <w:gridCol w:w="2051"/>
        <w:gridCol w:w="3066"/>
        <w:gridCol w:w="3227"/>
      </w:tblGrid>
      <w:tr w14:paraId="6C358F6B">
        <w:tblPrEx>
          <w:tblCellMar>
            <w:top w:w="0" w:type="dxa"/>
            <w:left w:w="0" w:type="dxa"/>
            <w:bottom w:w="0" w:type="dxa"/>
            <w:right w:w="0" w:type="dxa"/>
          </w:tblCellMar>
        </w:tblPrEx>
        <w:trPr>
          <w:trHeight w:val="325" w:hRule="atLeast"/>
        </w:trPr>
        <w:tc>
          <w:tcPr>
            <w:tcW w:w="2051"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tcPr>
          <w:p w14:paraId="443E50A8">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类型</w:t>
            </w:r>
          </w:p>
        </w:tc>
        <w:tc>
          <w:tcPr>
            <w:tcW w:w="3066" w:type="dxa"/>
            <w:tcBorders>
              <w:top w:val="single" w:color="auto" w:sz="8" w:space="0"/>
              <w:left w:val="nil"/>
              <w:bottom w:val="single" w:color="auto" w:sz="8" w:space="0"/>
              <w:right w:val="single" w:color="auto" w:sz="8" w:space="0"/>
            </w:tcBorders>
            <w:tcMar>
              <w:top w:w="15" w:type="dxa"/>
              <w:left w:w="15" w:type="dxa"/>
              <w:bottom w:w="0" w:type="dxa"/>
              <w:right w:w="15" w:type="dxa"/>
            </w:tcMar>
          </w:tcPr>
          <w:p w14:paraId="1671FDED">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卖方</w:t>
            </w:r>
          </w:p>
        </w:tc>
        <w:tc>
          <w:tcPr>
            <w:tcW w:w="3227" w:type="dxa"/>
            <w:tcBorders>
              <w:top w:val="single" w:color="auto" w:sz="8" w:space="0"/>
              <w:left w:val="nil"/>
              <w:bottom w:val="single" w:color="auto" w:sz="8" w:space="0"/>
              <w:right w:val="single" w:color="auto" w:sz="8" w:space="0"/>
            </w:tcBorders>
            <w:tcMar>
              <w:top w:w="15" w:type="dxa"/>
              <w:left w:w="15" w:type="dxa"/>
              <w:bottom w:w="0" w:type="dxa"/>
              <w:right w:w="15" w:type="dxa"/>
            </w:tcMar>
          </w:tcPr>
          <w:p w14:paraId="2104E781">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买方</w:t>
            </w:r>
          </w:p>
        </w:tc>
      </w:tr>
      <w:tr w14:paraId="2A5B2AE6">
        <w:tblPrEx>
          <w:tblCellMar>
            <w:top w:w="0" w:type="dxa"/>
            <w:left w:w="0" w:type="dxa"/>
            <w:bottom w:w="0" w:type="dxa"/>
            <w:right w:w="0" w:type="dxa"/>
          </w:tblCellMar>
        </w:tblPrEx>
        <w:trPr>
          <w:trHeight w:val="325" w:hRule="atLeast"/>
        </w:trPr>
        <w:tc>
          <w:tcPr>
            <w:tcW w:w="2051" w:type="dxa"/>
            <w:tcBorders>
              <w:top w:val="nil"/>
              <w:left w:val="single" w:color="auto" w:sz="8" w:space="0"/>
              <w:bottom w:val="single" w:color="auto" w:sz="8" w:space="0"/>
              <w:right w:val="single" w:color="auto" w:sz="8" w:space="0"/>
            </w:tcBorders>
            <w:tcMar>
              <w:top w:w="15" w:type="dxa"/>
              <w:left w:w="15" w:type="dxa"/>
              <w:bottom w:w="0" w:type="dxa"/>
              <w:right w:w="15" w:type="dxa"/>
            </w:tcMar>
          </w:tcPr>
          <w:p w14:paraId="4CC6AB56">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联系人</w:t>
            </w:r>
          </w:p>
        </w:tc>
        <w:tc>
          <w:tcPr>
            <w:tcW w:w="3066" w:type="dxa"/>
            <w:tcBorders>
              <w:top w:val="nil"/>
              <w:left w:val="nil"/>
              <w:bottom w:val="single" w:color="auto" w:sz="8" w:space="0"/>
              <w:right w:val="single" w:color="auto" w:sz="8" w:space="0"/>
            </w:tcBorders>
            <w:tcMar>
              <w:top w:w="15" w:type="dxa"/>
              <w:left w:w="15" w:type="dxa"/>
              <w:bottom w:w="0" w:type="dxa"/>
              <w:right w:w="15" w:type="dxa"/>
            </w:tcMar>
            <w:vAlign w:val="center"/>
          </w:tcPr>
          <w:p w14:paraId="1A9E48B0">
            <w:pPr>
              <w:widowControl/>
              <w:adjustRightInd w:val="0"/>
              <w:snapToGrid w:val="0"/>
              <w:spacing w:line="360" w:lineRule="auto"/>
              <w:jc w:val="center"/>
              <w:rPr>
                <w:rFonts w:ascii="宋体" w:hAnsi="宋体" w:cs="宋体"/>
                <w:color w:val="auto"/>
                <w:sz w:val="24"/>
                <w:highlight w:val="none"/>
              </w:rPr>
            </w:pPr>
          </w:p>
        </w:tc>
        <w:tc>
          <w:tcPr>
            <w:tcW w:w="3227" w:type="dxa"/>
            <w:tcBorders>
              <w:top w:val="nil"/>
              <w:left w:val="nil"/>
              <w:bottom w:val="single" w:color="auto" w:sz="8" w:space="0"/>
              <w:right w:val="single" w:color="auto" w:sz="8" w:space="0"/>
            </w:tcBorders>
            <w:tcMar>
              <w:top w:w="15" w:type="dxa"/>
              <w:left w:w="15" w:type="dxa"/>
              <w:bottom w:w="0" w:type="dxa"/>
              <w:right w:w="15" w:type="dxa"/>
            </w:tcMar>
            <w:vAlign w:val="center"/>
          </w:tcPr>
          <w:p w14:paraId="664D39A8">
            <w:pPr>
              <w:adjustRightInd w:val="0"/>
              <w:snapToGrid w:val="0"/>
              <w:spacing w:line="360" w:lineRule="auto"/>
              <w:jc w:val="center"/>
              <w:rPr>
                <w:rFonts w:ascii="宋体" w:hAnsi="宋体" w:cs="宋体"/>
                <w:color w:val="auto"/>
                <w:sz w:val="24"/>
                <w:highlight w:val="none"/>
              </w:rPr>
            </w:pPr>
          </w:p>
        </w:tc>
      </w:tr>
      <w:tr w14:paraId="2D71355F">
        <w:tblPrEx>
          <w:tblCellMar>
            <w:top w:w="0" w:type="dxa"/>
            <w:left w:w="0" w:type="dxa"/>
            <w:bottom w:w="0" w:type="dxa"/>
            <w:right w:w="0" w:type="dxa"/>
          </w:tblCellMar>
        </w:tblPrEx>
        <w:trPr>
          <w:trHeight w:val="325" w:hRule="atLeast"/>
        </w:trPr>
        <w:tc>
          <w:tcPr>
            <w:tcW w:w="2051" w:type="dxa"/>
            <w:tcBorders>
              <w:top w:val="nil"/>
              <w:left w:val="single" w:color="auto" w:sz="8" w:space="0"/>
              <w:bottom w:val="single" w:color="auto" w:sz="8" w:space="0"/>
              <w:right w:val="single" w:color="auto" w:sz="8" w:space="0"/>
            </w:tcBorders>
            <w:tcMar>
              <w:top w:w="15" w:type="dxa"/>
              <w:left w:w="15" w:type="dxa"/>
              <w:bottom w:w="0" w:type="dxa"/>
              <w:right w:w="15" w:type="dxa"/>
            </w:tcMar>
          </w:tcPr>
          <w:p w14:paraId="3C1FE73B">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电话（同微信）</w:t>
            </w:r>
          </w:p>
        </w:tc>
        <w:tc>
          <w:tcPr>
            <w:tcW w:w="3066" w:type="dxa"/>
            <w:tcBorders>
              <w:top w:val="nil"/>
              <w:left w:val="nil"/>
              <w:bottom w:val="single" w:color="auto" w:sz="8" w:space="0"/>
              <w:right w:val="single" w:color="auto" w:sz="8" w:space="0"/>
            </w:tcBorders>
            <w:tcMar>
              <w:top w:w="15" w:type="dxa"/>
              <w:left w:w="15" w:type="dxa"/>
              <w:bottom w:w="0" w:type="dxa"/>
              <w:right w:w="15" w:type="dxa"/>
            </w:tcMar>
            <w:vAlign w:val="center"/>
          </w:tcPr>
          <w:p w14:paraId="5303CC22">
            <w:pPr>
              <w:adjustRightInd w:val="0"/>
              <w:snapToGrid w:val="0"/>
              <w:spacing w:line="360" w:lineRule="auto"/>
              <w:jc w:val="center"/>
              <w:rPr>
                <w:rFonts w:ascii="宋体" w:hAnsi="宋体" w:cs="宋体"/>
                <w:color w:val="auto"/>
                <w:sz w:val="24"/>
                <w:highlight w:val="none"/>
              </w:rPr>
            </w:pPr>
          </w:p>
        </w:tc>
        <w:tc>
          <w:tcPr>
            <w:tcW w:w="3227" w:type="dxa"/>
            <w:tcBorders>
              <w:top w:val="nil"/>
              <w:left w:val="nil"/>
              <w:bottom w:val="single" w:color="auto" w:sz="8" w:space="0"/>
              <w:right w:val="single" w:color="auto" w:sz="8" w:space="0"/>
            </w:tcBorders>
            <w:tcMar>
              <w:top w:w="15" w:type="dxa"/>
              <w:left w:w="15" w:type="dxa"/>
              <w:bottom w:w="0" w:type="dxa"/>
              <w:right w:w="15" w:type="dxa"/>
            </w:tcMar>
          </w:tcPr>
          <w:p w14:paraId="2F2C2896">
            <w:pPr>
              <w:adjustRightInd w:val="0"/>
              <w:snapToGrid w:val="0"/>
              <w:spacing w:line="360" w:lineRule="auto"/>
              <w:jc w:val="center"/>
              <w:rPr>
                <w:rFonts w:ascii="宋体" w:hAnsi="宋体" w:cs="宋体"/>
                <w:color w:val="auto"/>
                <w:sz w:val="24"/>
                <w:highlight w:val="none"/>
              </w:rPr>
            </w:pPr>
          </w:p>
        </w:tc>
      </w:tr>
      <w:tr w14:paraId="6C4EE5F0">
        <w:tblPrEx>
          <w:tblCellMar>
            <w:top w:w="0" w:type="dxa"/>
            <w:left w:w="0" w:type="dxa"/>
            <w:bottom w:w="0" w:type="dxa"/>
            <w:right w:w="0" w:type="dxa"/>
          </w:tblCellMar>
        </w:tblPrEx>
        <w:trPr>
          <w:trHeight w:val="325" w:hRule="atLeast"/>
        </w:trPr>
        <w:tc>
          <w:tcPr>
            <w:tcW w:w="2051" w:type="dxa"/>
            <w:tcBorders>
              <w:top w:val="nil"/>
              <w:left w:val="single" w:color="auto" w:sz="8" w:space="0"/>
              <w:bottom w:val="single" w:color="auto" w:sz="8" w:space="0"/>
              <w:right w:val="single" w:color="auto" w:sz="8" w:space="0"/>
            </w:tcBorders>
            <w:tcMar>
              <w:top w:w="15" w:type="dxa"/>
              <w:left w:w="15" w:type="dxa"/>
              <w:bottom w:w="0" w:type="dxa"/>
              <w:right w:w="15" w:type="dxa"/>
            </w:tcMar>
          </w:tcPr>
          <w:p w14:paraId="20D5BB45">
            <w:pPr>
              <w:adjustRightInd w:val="0"/>
              <w:snapToGrid w:val="0"/>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联系邮箱</w:t>
            </w:r>
          </w:p>
        </w:tc>
        <w:tc>
          <w:tcPr>
            <w:tcW w:w="3066" w:type="dxa"/>
            <w:tcBorders>
              <w:top w:val="nil"/>
              <w:left w:val="nil"/>
              <w:bottom w:val="single" w:color="auto" w:sz="8" w:space="0"/>
              <w:right w:val="single" w:color="auto" w:sz="8" w:space="0"/>
            </w:tcBorders>
            <w:tcMar>
              <w:top w:w="15" w:type="dxa"/>
              <w:left w:w="15" w:type="dxa"/>
              <w:bottom w:w="0" w:type="dxa"/>
              <w:right w:w="15" w:type="dxa"/>
            </w:tcMar>
            <w:vAlign w:val="center"/>
          </w:tcPr>
          <w:p w14:paraId="06D4C537">
            <w:pPr>
              <w:adjustRightInd w:val="0"/>
              <w:snapToGrid w:val="0"/>
              <w:spacing w:line="360" w:lineRule="auto"/>
              <w:jc w:val="center"/>
              <w:rPr>
                <w:rFonts w:ascii="宋体" w:hAnsi="宋体" w:cs="宋体"/>
                <w:color w:val="auto"/>
                <w:sz w:val="24"/>
                <w:highlight w:val="none"/>
                <w:u w:val="single"/>
              </w:rPr>
            </w:pPr>
          </w:p>
        </w:tc>
        <w:tc>
          <w:tcPr>
            <w:tcW w:w="3227" w:type="dxa"/>
            <w:tcBorders>
              <w:top w:val="nil"/>
              <w:left w:val="nil"/>
              <w:bottom w:val="single" w:color="auto" w:sz="8" w:space="0"/>
              <w:right w:val="single" w:color="auto" w:sz="8" w:space="0"/>
            </w:tcBorders>
            <w:tcMar>
              <w:top w:w="15" w:type="dxa"/>
              <w:left w:w="15" w:type="dxa"/>
              <w:bottom w:w="0" w:type="dxa"/>
              <w:right w:w="15" w:type="dxa"/>
            </w:tcMar>
            <w:vAlign w:val="center"/>
          </w:tcPr>
          <w:p w14:paraId="7D7C3526">
            <w:pPr>
              <w:widowControl/>
              <w:adjustRightInd w:val="0"/>
              <w:snapToGrid w:val="0"/>
              <w:spacing w:line="360" w:lineRule="auto"/>
              <w:jc w:val="center"/>
              <w:rPr>
                <w:rFonts w:ascii="宋体" w:hAnsi="宋体" w:cs="宋体"/>
                <w:color w:val="auto"/>
                <w:sz w:val="24"/>
                <w:highlight w:val="none"/>
                <w:u w:val="single"/>
              </w:rPr>
            </w:pPr>
          </w:p>
        </w:tc>
      </w:tr>
      <w:tr w14:paraId="169142B7">
        <w:tblPrEx>
          <w:tblCellMar>
            <w:top w:w="0" w:type="dxa"/>
            <w:left w:w="0" w:type="dxa"/>
            <w:bottom w:w="0" w:type="dxa"/>
            <w:right w:w="0" w:type="dxa"/>
          </w:tblCellMar>
        </w:tblPrEx>
        <w:trPr>
          <w:trHeight w:val="813" w:hRule="atLeast"/>
        </w:trPr>
        <w:tc>
          <w:tcPr>
            <w:tcW w:w="8344" w:type="dxa"/>
            <w:gridSpan w:val="3"/>
            <w:tcBorders>
              <w:top w:val="nil"/>
              <w:left w:val="single" w:color="auto" w:sz="8" w:space="0"/>
              <w:bottom w:val="single" w:color="auto" w:sz="8" w:space="0"/>
              <w:right w:val="single" w:color="auto" w:sz="8" w:space="0"/>
            </w:tcBorders>
            <w:tcMar>
              <w:top w:w="15" w:type="dxa"/>
              <w:left w:w="15" w:type="dxa"/>
              <w:bottom w:w="0" w:type="dxa"/>
              <w:right w:w="15" w:type="dxa"/>
            </w:tcMar>
          </w:tcPr>
          <w:p w14:paraId="7419DB3A">
            <w:pPr>
              <w:widowControl/>
              <w:adjustRightInd w:val="0"/>
              <w:snapToGrid w:val="0"/>
              <w:spacing w:line="360" w:lineRule="auto"/>
              <w:jc w:val="left"/>
              <w:rPr>
                <w:rFonts w:ascii="宋体" w:hAnsi="宋体" w:cs="宋体"/>
                <w:color w:val="auto"/>
                <w:sz w:val="24"/>
                <w:highlight w:val="none"/>
              </w:rPr>
            </w:pPr>
            <w:r>
              <w:rPr>
                <w:rFonts w:hint="eastAsia" w:ascii="宋体" w:hAnsi="宋体" w:cs="宋体"/>
                <w:color w:val="auto"/>
                <w:kern w:val="0"/>
                <w:sz w:val="24"/>
                <w:highlight w:val="none"/>
              </w:rPr>
              <w:t>备注：上述信息发生变更，应提前3个工作日通知对方，否则由此产生的责任、损失由违约方承担。</w:t>
            </w:r>
          </w:p>
        </w:tc>
      </w:tr>
    </w:tbl>
    <w:p w14:paraId="530DA142">
      <w:pPr>
        <w:adjustRightInd w:val="0"/>
        <w:snapToGrid w:val="0"/>
        <w:spacing w:line="360" w:lineRule="auto"/>
        <w:rPr>
          <w:rFonts w:ascii="宋体" w:hAnsi="宋体"/>
          <w:color w:val="auto"/>
          <w:sz w:val="24"/>
          <w:szCs w:val="24"/>
          <w:highlight w:val="none"/>
        </w:rPr>
      </w:pPr>
    </w:p>
    <w:p w14:paraId="7613496E">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2.2卖方可在下列三种交货方式中选择相应的交货方式。</w:t>
      </w:r>
    </w:p>
    <w:p w14:paraId="1FA7A18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2.2.1卖方委托买方推荐的第三方物流进行集中仓储和二次配送至最终用户。</w:t>
      </w:r>
    </w:p>
    <w:p w14:paraId="3C3BD922">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2.2.2卖方委托买方推荐的第三方物流进行集中仓储，卖方接到买方指令后从仓库提货后进行二次配送至最终用户。</w:t>
      </w:r>
    </w:p>
    <w:p w14:paraId="7159976D">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2.2.3卖方自行完成集中仓储和配送。</w:t>
      </w:r>
    </w:p>
    <w:p w14:paraId="65FE7F1C">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若卖方选择上述①和②的交货方式，卖方除承担运送至第三方物流仓库的费用，还应同时承担货物入第三方物流仓库的仓储操作费、从第三方物流仓库运送至最终用户的二次配送费（若有）等相应费用。</w:t>
      </w:r>
    </w:p>
    <w:p w14:paraId="1C8B9AB5">
      <w:pPr>
        <w:autoSpaceDE w:val="0"/>
        <w:bidi/>
        <w:adjustRightInd w:val="0"/>
        <w:snapToGrid w:val="0"/>
        <w:spacing w:line="360" w:lineRule="auto"/>
        <w:ind w:firstLine="480" w:firstLineChars="200"/>
        <w:jc w:val="right"/>
        <w:rPr>
          <w:rFonts w:ascii="宋体" w:hAnsi="宋体"/>
          <w:color w:val="auto"/>
          <w:sz w:val="24"/>
          <w:szCs w:val="24"/>
          <w:highlight w:val="none"/>
        </w:rPr>
      </w:pPr>
      <w:r>
        <w:rPr>
          <w:rFonts w:hint="eastAsia" w:ascii="宋体" w:hAnsi="宋体" w:cs="宋体"/>
          <w:color w:val="auto"/>
          <w:sz w:val="24"/>
          <w:szCs w:val="24"/>
          <w:highlight w:val="none"/>
        </w:rPr>
        <w:t>2.3交货期                                                           2.3.1卖方选择委托买方推荐的第三方物流进行集中仓储和二次配送至最终用户的，卖方在接到买方《定货单》之日起15个日历日之内货交买方推荐的第三方物流仓库，第三方物流在接到买方通知后厦门市行政区域内24小时；厦门市行政区域外48小时内运送至最终用户。买方推荐的第三方物流的仓储操作费及二次配送费的收费标准如下：A4喷墨打印机仓储操作费为7元/台，二次配送费为13元/台。A3喷墨打印机仓储操作费为15元/台，二次配送费为13元/台。</w:t>
      </w:r>
    </w:p>
    <w:p w14:paraId="33F0FD44">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2.3.2卖方选择委托买方推荐的第三方物流进行集中仓储，卖方接到买方指令后从仓库提货后进行二次配送至最终用户的，卖方在接到买方《定货单》之日起20个日历日之内货交买方推荐的第三方物流仓库，卖方接到买方通知后厦门市行政区域内24小时；厦门市行政区域外48小时内从买方仓库运送至最终用户，卖方从买方仓库中提货后，货物毁损、灭失的风险转移至卖方。买方推荐的第三方物流的仓储操作费的收费标准如下：A4喷墨打印机仓储操作费为7元/台，A3喷墨打印机仓储操作费为15元/台。</w:t>
      </w:r>
    </w:p>
    <w:p w14:paraId="5B4ADC6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2.3.3卖方选择自行完成集中仓储和配送的，卖方自行备货和集中仓储，在接到买方通知后厦门市行政区域内24小时；厦门市行政区域外48小时内运送至最终用户。</w:t>
      </w:r>
    </w:p>
    <w:p w14:paraId="2686452F">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2.4交货时间的特别约定</w:t>
      </w:r>
    </w:p>
    <w:p w14:paraId="41ACF6A9">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2.4.1供货过程中，若出现暂时的配件型号变更或短缺等情况的，卖方须在买方发出《定货单》之日起5个工作日内向买方和最终用户提供相应证明文件，并提供解决方案（但其价格不得高于成交价且配置配件的参数指标不得低于原来的要求）和买方、最终用户进行协商。经买方和最终用户认可后，卖方按最终确定的方案供货，货款按最终协商一致的价格结算，交货时间满足最终用户的要求。否则，按逾期交货处理。</w:t>
      </w:r>
    </w:p>
    <w:p w14:paraId="59924868">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2.4.2若在合同期内有任何产品型号或配件升级变更，卖方应至少提前一个月书面通知买方相关信息（包括其升级产品型号、部件及详细配置方案），经买方书面同意后方可按升级后的产品（或配件）供货，价格按合同单价执行，交货时间按采购合同条款执行。同时，在买方同意之前，卖方仍应按原《定货单》的要求供货。否则，按逾期交货处理。经最终用户认可后，卖方可按升级后的产品（或配件）供货。若在合同期内卖方有任何产品型号或配件停产且无法提供符合买方要求的升级型号或配件则视为严重违约，卖方应按每款机型</w:t>
      </w:r>
      <w:r>
        <w:rPr>
          <w:rFonts w:hint="eastAsia" w:ascii="宋体" w:hAnsi="宋体" w:cs="宋体"/>
          <w:color w:val="auto"/>
          <w:sz w:val="24"/>
          <w:szCs w:val="24"/>
          <w:highlight w:val="none"/>
          <w:u w:val="single"/>
        </w:rPr>
        <w:t>20000</w:t>
      </w:r>
      <w:r>
        <w:rPr>
          <w:rFonts w:hint="eastAsia" w:ascii="宋体" w:hAnsi="宋体" w:cs="宋体"/>
          <w:color w:val="auto"/>
          <w:sz w:val="24"/>
          <w:szCs w:val="24"/>
          <w:highlight w:val="none"/>
        </w:rPr>
        <w:t xml:space="preserve">元向买方缴纳违约金，买方有权单方面解除中标合同并没收4.1条约定的全部履约保证金。            </w:t>
      </w:r>
    </w:p>
    <w:p w14:paraId="5EA36CED">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2.4.3但凡要求卖方更换整机的，重新交货时间按2.2.1、2.2.2条执行。</w:t>
      </w:r>
    </w:p>
    <w:p w14:paraId="160839C0">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2.4.4卖方在收到《定货单》后应按买方要求加盖公章并以扫描件及时回复确认，但最迟不超过1个日历日。若《定货单》发出之日起1个日历日内卖方未按买方要求予以确认的，则卖方同意自第2个日历日起计算交货期。</w:t>
      </w:r>
    </w:p>
    <w:p w14:paraId="73C3DAD0">
      <w:pPr>
        <w:adjustRightInd/>
        <w:snapToGrid/>
        <w:spacing w:line="360" w:lineRule="auto"/>
        <w:ind w:right="-99" w:rightChars="-47" w:firstLine="480" w:firstLineChars="200"/>
        <w:rPr>
          <w:rFonts w:ascii="宋体" w:hAnsi="宋体"/>
          <w:color w:val="auto"/>
          <w:sz w:val="24"/>
          <w:szCs w:val="24"/>
          <w:highlight w:val="none"/>
        </w:rPr>
      </w:pPr>
      <w:r>
        <w:rPr>
          <w:rFonts w:hint="eastAsia" w:ascii="宋体" w:hAnsi="宋体" w:cs="宋体"/>
          <w:color w:val="auto"/>
          <w:sz w:val="24"/>
          <w:szCs w:val="24"/>
          <w:highlight w:val="none"/>
        </w:rPr>
        <w:t>2.4.5在3月-7月，9月-11月几个教育系统用户领用高峰期，卖方同意将提前做好库存，在高峰期出现供货安装不及时的情况将双倍考核；情节严重（定单供货及时率低于90%，客户原因除外）直接扣除保证金。（注：定单供货及时率=按期供货定单数/总定单数*100%）</w:t>
      </w:r>
    </w:p>
    <w:p w14:paraId="6B9E0726">
      <w:pPr>
        <w:adjustRightInd w:val="0"/>
        <w:snapToGrid w:val="0"/>
        <w:spacing w:line="360" w:lineRule="auto"/>
        <w:rPr>
          <w:rFonts w:ascii="宋体" w:hAnsi="宋体"/>
          <w:b/>
          <w:color w:val="auto"/>
          <w:sz w:val="24"/>
          <w:szCs w:val="24"/>
          <w:highlight w:val="none"/>
        </w:rPr>
      </w:pPr>
      <w:r>
        <w:rPr>
          <w:rFonts w:hint="eastAsia" w:ascii="宋体" w:hAnsi="宋体"/>
          <w:b/>
          <w:color w:val="auto"/>
          <w:sz w:val="24"/>
          <w:szCs w:val="24"/>
          <w:highlight w:val="none"/>
        </w:rPr>
        <w:t>3、供货清单</w:t>
      </w:r>
    </w:p>
    <w:p w14:paraId="60FFF20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3.1供货清单：包括产品主机、随机备品备件、专用工具的名称及数量。</w:t>
      </w:r>
    </w:p>
    <w:p w14:paraId="39D08931">
      <w:pPr>
        <w:adjustRightInd w:val="0"/>
        <w:snapToGrid w:val="0"/>
        <w:spacing w:line="360" w:lineRule="auto"/>
        <w:rPr>
          <w:rFonts w:ascii="宋体" w:hAnsi="宋体"/>
          <w:b/>
          <w:color w:val="auto"/>
          <w:sz w:val="24"/>
          <w:szCs w:val="24"/>
          <w:highlight w:val="none"/>
        </w:rPr>
      </w:pPr>
      <w:r>
        <w:rPr>
          <w:rFonts w:hint="eastAsia" w:ascii="宋体" w:hAnsi="宋体"/>
          <w:b/>
          <w:color w:val="auto"/>
          <w:sz w:val="24"/>
          <w:szCs w:val="24"/>
          <w:highlight w:val="none"/>
        </w:rPr>
        <w:t>4、付款方式与条件</w:t>
      </w:r>
    </w:p>
    <w:p w14:paraId="52CC226D">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4.1履约保证金</w:t>
      </w:r>
    </w:p>
    <w:p w14:paraId="6760F0D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4.1.1</w:t>
      </w:r>
      <w:r>
        <w:rPr>
          <w:rFonts w:hint="eastAsia" w:ascii="宋体" w:hAnsi="宋体" w:cs="宋体"/>
          <w:color w:val="auto"/>
          <w:sz w:val="24"/>
          <w:szCs w:val="24"/>
          <w:highlight w:val="none"/>
        </w:rPr>
        <w:t>中标供应商应在合同签订之日起7个日历日内向采购单位缴交中标总金额5%的履约保证金。其中2%作为供货履约保证金(即人民币小写： 元，大写柒仟贰佰柒拾元整），于本合同有效期满后最后一批次货物供货后20个工作日内一次性无息付清（扣除相应的违约金、赔偿金）。3%作为售后履约保证金（即人民币小写： 元，大写壹万零玖佰零伍元整）待本合同有效期内最后一批次货物保修期届满后20个工作日内一次性无息付清（扣除相应的违约金、赔偿金）。</w:t>
      </w:r>
      <w:r>
        <w:rPr>
          <w:rFonts w:hint="eastAsia" w:ascii="宋体" w:hAnsi="宋体"/>
          <w:color w:val="auto"/>
          <w:sz w:val="24"/>
          <w:szCs w:val="24"/>
          <w:highlight w:val="none"/>
        </w:rPr>
        <w:t>原则上，合同期内卖方应承担的违约金、赔偿金等不超过中标总金额的5%，但因卖方违约给买方造成损失，前述金额不足以弥补买方损失的，卖方应予补足。</w:t>
      </w:r>
    </w:p>
    <w:p w14:paraId="09F6473B">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4.1.2卖方因违约行为导致履约保证金被买方扣除的，卖方应于被扣除之日起7个日历日内补足，使履约保证金金额满足4.1.1约定的要求。</w:t>
      </w:r>
    </w:p>
    <w:p w14:paraId="145FCC08">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4.2买方按批次支付货款。</w:t>
      </w:r>
    </w:p>
    <w:p w14:paraId="73542009">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4.2.1货物送仓库后再送最终用户的，货交买方仓库经买方初验合格后，买方凭如下单证和文件在</w:t>
      </w:r>
      <w:r>
        <w:rPr>
          <w:rFonts w:hint="eastAsia" w:ascii="宋体" w:hAnsi="宋体"/>
          <w:color w:val="auto"/>
          <w:sz w:val="24"/>
          <w:szCs w:val="24"/>
          <w:highlight w:val="none"/>
          <w:u w:val="single"/>
        </w:rPr>
        <w:t>45</w:t>
      </w:r>
      <w:r>
        <w:rPr>
          <w:rFonts w:hint="eastAsia" w:ascii="宋体" w:hAnsi="宋体"/>
          <w:color w:val="auto"/>
          <w:sz w:val="24"/>
          <w:szCs w:val="24"/>
          <w:highlight w:val="none"/>
        </w:rPr>
        <w:t>个日历日内向卖方一次性支付至该批次货款的100%：</w:t>
      </w:r>
    </w:p>
    <w:p w14:paraId="423C841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a.金额为100%的该批次货款的一般纳税人增值税专用发票；</w:t>
      </w:r>
    </w:p>
    <w:p w14:paraId="36CAF855">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b.卖方已缴纳该批货物的中标/成交服务费和2.2.3的二次配送费用、仓储操作费的证明材料；</w:t>
      </w:r>
    </w:p>
    <w:p w14:paraId="3BA5277F">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c.买方已收讫的该批次货物的《签收单》。</w:t>
      </w:r>
    </w:p>
    <w:p w14:paraId="3C2E1B0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但是，买方向卖方支付货款并不表示送入仓库的货物通过最终验收。</w:t>
      </w:r>
    </w:p>
    <w:p w14:paraId="25BE88D9">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4.2.2货物直送最终用户的，该批次货物经安装调试完毕并经最终验收合格后，买方凭如下单证和文件在</w:t>
      </w:r>
      <w:r>
        <w:rPr>
          <w:rFonts w:hint="eastAsia" w:ascii="宋体" w:hAnsi="宋体"/>
          <w:color w:val="auto"/>
          <w:sz w:val="24"/>
          <w:szCs w:val="24"/>
          <w:highlight w:val="none"/>
          <w:u w:val="single"/>
        </w:rPr>
        <w:t>45</w:t>
      </w:r>
      <w:r>
        <w:rPr>
          <w:rFonts w:hint="eastAsia" w:ascii="宋体" w:hAnsi="宋体"/>
          <w:color w:val="auto"/>
          <w:sz w:val="24"/>
          <w:szCs w:val="24"/>
          <w:highlight w:val="none"/>
        </w:rPr>
        <w:t>个日历日内向卖方一次性付清该批次货款的全款。</w:t>
      </w:r>
    </w:p>
    <w:p w14:paraId="619030F8">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a.金额为100%的该批次货款的一般纳税人增值税专用发票；</w:t>
      </w:r>
    </w:p>
    <w:p w14:paraId="3DB2F4A2">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b.卖方已缴纳该批货物的成交服务费的证明材料；</w:t>
      </w:r>
    </w:p>
    <w:p w14:paraId="0EAD8253">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c.该批次货物的《验收报告》(经最终用户签署)。</w:t>
      </w:r>
    </w:p>
    <w:p w14:paraId="64F35C88">
      <w:pPr>
        <w:adjustRightInd w:val="0"/>
        <w:snapToGrid w:val="0"/>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5、质量要求和技术标准</w:t>
      </w:r>
    </w:p>
    <w:p w14:paraId="375C5EA5">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5.1卖方保证提供的所有产品的技术参数指标与合同附件1（技术参数）中对应产品的技术参数指标相一致。 </w:t>
      </w:r>
    </w:p>
    <w:p w14:paraId="60B830B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5.2卖方保证提供的所有产品（包括所有配件、备件等）均是符合国家标准的、全新的、原产制造并经检验合格的、未使用过的、正宗品牌产品，否则买方有权退货。 </w:t>
      </w:r>
    </w:p>
    <w:p w14:paraId="4355A8CB">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5.3卖方承诺不拆换、不调换、不截留产品零部件；不以少充多、不以旧充新，不以劣充优，不以假充真；不提供降低产品等级标准的产品。否则买方有权退货。 </w:t>
      </w:r>
    </w:p>
    <w:p w14:paraId="0A73451C">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5.4包装要求：卖方保证提供的所有合同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卖方承担责任和费用。每件包装应附有详细装箱清单和质量合格证书。最终用户对包装破损的货物有权拒收，卖方承诺予以更换。 </w:t>
      </w:r>
    </w:p>
    <w:p w14:paraId="7E620E62">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5.5卖方保证厂家出厂随机所安装的相关软件为正版软件。</w:t>
      </w:r>
    </w:p>
    <w:p w14:paraId="232DF260">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5.6卖方保证提供的产品的技术性能、综合质量的稳定性和可靠性；保证提供的产品符合国家质量、技术、环保、安全、节能、保密等相关法律、法规和政策要求及商检标准和电工标准。 </w:t>
      </w:r>
    </w:p>
    <w:p w14:paraId="018148A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5.7卖方承诺提供货物制造厂商的合格证书。</w:t>
      </w:r>
    </w:p>
    <w:p w14:paraId="63C30B62">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5.8卖方保证配合买方及产品检验检测机构进行合同产品的检验检测，产品检验检测的一切相关费用由卖方承担。</w:t>
      </w:r>
    </w:p>
    <w:p w14:paraId="75EE4D8C">
      <w:pPr>
        <w:numPr>
          <w:ilvl w:val="0"/>
          <w:numId w:val="3"/>
        </w:numPr>
        <w:adjustRightInd w:val="0"/>
        <w:snapToGrid w:val="0"/>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安装要求</w:t>
      </w:r>
    </w:p>
    <w:p w14:paraId="5BD24F1B">
      <w:pPr>
        <w:spacing w:line="360" w:lineRule="auto"/>
        <w:rPr>
          <w:rFonts w:ascii="宋体" w:hAnsi="宋体"/>
          <w:color w:val="auto"/>
          <w:sz w:val="24"/>
          <w:szCs w:val="24"/>
          <w:highlight w:val="none"/>
        </w:rPr>
      </w:pPr>
      <w:r>
        <w:rPr>
          <w:rFonts w:ascii="宋体" w:hAnsi="宋体"/>
          <w:b/>
          <w:bCs/>
          <w:color w:val="auto"/>
          <w:sz w:val="24"/>
          <w:szCs w:val="24"/>
          <w:highlight w:val="none"/>
        </w:rPr>
        <w:t xml:space="preserve">   </w:t>
      </w:r>
      <w:r>
        <w:rPr>
          <w:rFonts w:ascii="宋体" w:hAnsi="宋体" w:cs="Times New Roman"/>
          <w:b w:val="0"/>
          <w:bCs w:val="0"/>
          <w:color w:val="auto"/>
          <w:sz w:val="24"/>
          <w:szCs w:val="24"/>
          <w:highlight w:val="none"/>
        </w:rPr>
        <w:t>6.</w:t>
      </w:r>
      <w:r>
        <w:rPr>
          <w:rFonts w:ascii="宋体" w:hAnsi="宋体" w:cs="Times New Roman"/>
          <w:color w:val="auto"/>
          <w:sz w:val="24"/>
          <w:szCs w:val="24"/>
          <w:highlight w:val="none"/>
        </w:rPr>
        <w:t>1</w:t>
      </w:r>
      <w:r>
        <w:rPr>
          <w:rFonts w:ascii="宋体" w:hAnsi="宋体" w:cs="宋体"/>
          <w:color w:val="auto"/>
          <w:sz w:val="24"/>
          <w:szCs w:val="24"/>
          <w:highlight w:val="none"/>
        </w:rPr>
        <w:t xml:space="preserve"> 卖</w:t>
      </w:r>
      <w:r>
        <w:rPr>
          <w:rFonts w:hint="eastAsia" w:ascii="宋体" w:hAnsi="宋体" w:cs="宋体"/>
          <w:color w:val="auto"/>
          <w:sz w:val="24"/>
          <w:szCs w:val="24"/>
          <w:highlight w:val="none"/>
        </w:rPr>
        <w:t>方需对接</w:t>
      </w:r>
      <w:r>
        <w:rPr>
          <w:rFonts w:ascii="宋体" w:hAnsi="宋体" w:cs="宋体"/>
          <w:color w:val="auto"/>
          <w:sz w:val="24"/>
          <w:szCs w:val="24"/>
          <w:highlight w:val="none"/>
        </w:rPr>
        <w:t>买</w:t>
      </w:r>
      <w:r>
        <w:rPr>
          <w:rFonts w:hint="eastAsia" w:ascii="宋体" w:hAnsi="宋体" w:cs="宋体"/>
          <w:color w:val="auto"/>
          <w:sz w:val="24"/>
          <w:szCs w:val="24"/>
          <w:highlight w:val="none"/>
        </w:rPr>
        <w:t>方平台，供应服务管理系统，为最终用户提供安装预约和在线报修等服务。当</w:t>
      </w:r>
      <w:r>
        <w:rPr>
          <w:rFonts w:ascii="宋体" w:hAnsi="宋体" w:cs="宋体"/>
          <w:color w:val="auto"/>
          <w:sz w:val="24"/>
          <w:szCs w:val="24"/>
          <w:highlight w:val="none"/>
        </w:rPr>
        <w:t>卖</w:t>
      </w:r>
      <w:r>
        <w:rPr>
          <w:rFonts w:hint="eastAsia" w:ascii="宋体" w:hAnsi="宋体" w:cs="宋体"/>
          <w:color w:val="auto"/>
          <w:sz w:val="24"/>
          <w:szCs w:val="24"/>
          <w:highlight w:val="none"/>
        </w:rPr>
        <w:t>方收到平台的安装派单、或最终用户报修需求后，应按照合同约定的时效，及时上门进行安装或维修工作。安装或维修工作完成后，</w:t>
      </w:r>
      <w:r>
        <w:rPr>
          <w:rFonts w:ascii="宋体" w:hAnsi="宋体" w:cs="宋体"/>
          <w:color w:val="auto"/>
          <w:sz w:val="24"/>
          <w:szCs w:val="24"/>
          <w:highlight w:val="none"/>
        </w:rPr>
        <w:t>卖</w:t>
      </w:r>
      <w:r>
        <w:rPr>
          <w:rFonts w:hint="eastAsia" w:ascii="宋体" w:hAnsi="宋体" w:cs="宋体"/>
          <w:color w:val="auto"/>
          <w:sz w:val="24"/>
          <w:szCs w:val="24"/>
          <w:highlight w:val="none"/>
        </w:rPr>
        <w:t>方需将反馈记录（包括服务人员、服务反馈、机身序列号、照片、电子验收单等信息）回执至</w:t>
      </w:r>
      <w:r>
        <w:rPr>
          <w:rFonts w:ascii="宋体" w:hAnsi="宋体" w:cs="宋体"/>
          <w:color w:val="auto"/>
          <w:sz w:val="24"/>
          <w:szCs w:val="24"/>
          <w:highlight w:val="none"/>
        </w:rPr>
        <w:t>买</w:t>
      </w:r>
      <w:r>
        <w:rPr>
          <w:rFonts w:hint="eastAsia" w:ascii="宋体" w:hAnsi="宋体" w:cs="宋体"/>
          <w:color w:val="auto"/>
          <w:sz w:val="24"/>
          <w:szCs w:val="24"/>
          <w:highlight w:val="none"/>
        </w:rPr>
        <w:t>方平台。通过使用</w:t>
      </w:r>
      <w:r>
        <w:rPr>
          <w:rFonts w:ascii="宋体" w:hAnsi="宋体" w:cs="宋体"/>
          <w:color w:val="auto"/>
          <w:sz w:val="24"/>
          <w:szCs w:val="24"/>
          <w:highlight w:val="none"/>
        </w:rPr>
        <w:t>买</w:t>
      </w:r>
      <w:r>
        <w:rPr>
          <w:rFonts w:hint="eastAsia" w:ascii="宋体" w:hAnsi="宋体" w:cs="宋体"/>
          <w:color w:val="auto"/>
          <w:sz w:val="24"/>
          <w:szCs w:val="24"/>
          <w:highlight w:val="none"/>
        </w:rPr>
        <w:t>方平台，提高最终用户安装或报修的便捷性和售后效率。</w:t>
      </w:r>
    </w:p>
    <w:p w14:paraId="3856CF74">
      <w:pPr>
        <w:widowControl/>
        <w:spacing w:line="360" w:lineRule="auto"/>
        <w:rPr>
          <w:rFonts w:ascii="宋体" w:hAnsi="宋体"/>
          <w:color w:val="auto"/>
          <w:sz w:val="24"/>
          <w:szCs w:val="24"/>
          <w:highlight w:val="none"/>
        </w:rPr>
      </w:pPr>
      <w:r>
        <w:rPr>
          <w:rFonts w:ascii="宋体" w:hAnsi="宋体" w:cs="宋体"/>
          <w:color w:val="auto"/>
          <w:kern w:val="0"/>
          <w:sz w:val="24"/>
          <w:szCs w:val="24"/>
          <w:highlight w:val="none"/>
        </w:rPr>
        <w:t xml:space="preserve">  6.</w:t>
      </w:r>
      <w:r>
        <w:rPr>
          <w:rFonts w:hint="eastAsia" w:ascii="宋体" w:hAnsi="宋体" w:cs="宋体"/>
          <w:color w:val="auto"/>
          <w:kern w:val="0"/>
          <w:sz w:val="24"/>
          <w:szCs w:val="24"/>
          <w:highlight w:val="none"/>
        </w:rPr>
        <w:t>2.</w:t>
      </w:r>
      <w:r>
        <w:rPr>
          <w:rFonts w:hint="eastAsia" w:ascii="宋体" w:hAnsi="宋体"/>
          <w:color w:val="auto"/>
          <w:sz w:val="24"/>
          <w:szCs w:val="24"/>
          <w:highlight w:val="none"/>
        </w:rPr>
        <w:t xml:space="preserve"> </w:t>
      </w:r>
      <w:r>
        <w:rPr>
          <w:rFonts w:ascii="宋体" w:hAnsi="宋体"/>
          <w:color w:val="auto"/>
          <w:sz w:val="24"/>
          <w:szCs w:val="24"/>
          <w:highlight w:val="none"/>
        </w:rPr>
        <w:t>卖</w:t>
      </w:r>
      <w:r>
        <w:rPr>
          <w:rFonts w:hint="eastAsia" w:ascii="宋体" w:hAnsi="宋体" w:cs="宋体"/>
          <w:color w:val="auto"/>
          <w:sz w:val="24"/>
          <w:szCs w:val="24"/>
          <w:highlight w:val="none"/>
        </w:rPr>
        <w:t>方应设立</w:t>
      </w:r>
      <w:r>
        <w:rPr>
          <w:rFonts w:hint="eastAsia" w:ascii="宋体" w:hAnsi="宋体"/>
          <w:color w:val="auto"/>
          <w:sz w:val="24"/>
          <w:szCs w:val="24"/>
          <w:highlight w:val="none"/>
        </w:rPr>
        <w:t>7×24小时全天候响应的售后服务专线电话，并确保</w:t>
      </w:r>
      <w:r>
        <w:rPr>
          <w:rFonts w:hint="eastAsia" w:ascii="宋体" w:hAnsi="宋体" w:cs="宋体"/>
          <w:color w:val="auto"/>
          <w:sz w:val="24"/>
          <w:szCs w:val="24"/>
          <w:highlight w:val="none"/>
        </w:rPr>
        <w:t>与</w:t>
      </w:r>
      <w:r>
        <w:rPr>
          <w:rFonts w:ascii="宋体" w:hAnsi="宋体" w:cs="宋体"/>
          <w:color w:val="auto"/>
          <w:sz w:val="24"/>
          <w:szCs w:val="24"/>
          <w:highlight w:val="none"/>
        </w:rPr>
        <w:t>买</w:t>
      </w:r>
      <w:r>
        <w:rPr>
          <w:rFonts w:hint="eastAsia" w:ascii="宋体" w:hAnsi="宋体" w:cs="宋体"/>
          <w:color w:val="auto"/>
          <w:sz w:val="24"/>
          <w:szCs w:val="24"/>
          <w:highlight w:val="none"/>
        </w:rPr>
        <w:t>方供应服务管理系统保持实时响应。若因产品自身质量问题导致的退、换机情况，</w:t>
      </w:r>
      <w:r>
        <w:rPr>
          <w:rFonts w:ascii="宋体" w:hAnsi="宋体" w:cs="宋体"/>
          <w:color w:val="auto"/>
          <w:sz w:val="24"/>
          <w:szCs w:val="24"/>
          <w:highlight w:val="none"/>
        </w:rPr>
        <w:t>卖</w:t>
      </w:r>
      <w:r>
        <w:rPr>
          <w:rFonts w:hint="eastAsia" w:ascii="宋体" w:hAnsi="宋体" w:cs="宋体"/>
          <w:color w:val="auto"/>
          <w:sz w:val="24"/>
          <w:szCs w:val="24"/>
          <w:highlight w:val="none"/>
        </w:rPr>
        <w:t>方应直接办理退、换流程，无需经</w:t>
      </w:r>
      <w:r>
        <w:rPr>
          <w:rFonts w:ascii="宋体" w:hAnsi="宋体" w:cs="宋体"/>
          <w:color w:val="auto"/>
          <w:sz w:val="24"/>
          <w:szCs w:val="24"/>
          <w:highlight w:val="none"/>
        </w:rPr>
        <w:t>买</w:t>
      </w:r>
      <w:r>
        <w:rPr>
          <w:rFonts w:hint="eastAsia" w:ascii="宋体" w:hAnsi="宋体" w:cs="宋体"/>
          <w:color w:val="auto"/>
          <w:sz w:val="24"/>
          <w:szCs w:val="24"/>
          <w:highlight w:val="none"/>
        </w:rPr>
        <w:t>方仓库周转。所有新机必须严格遵循</w:t>
      </w:r>
      <w:r>
        <w:rPr>
          <w:rFonts w:ascii="宋体" w:hAnsi="宋体" w:cs="宋体"/>
          <w:color w:val="auto"/>
          <w:sz w:val="24"/>
          <w:szCs w:val="24"/>
          <w:highlight w:val="none"/>
        </w:rPr>
        <w:t>买</w:t>
      </w:r>
      <w:r>
        <w:rPr>
          <w:rFonts w:hint="eastAsia" w:ascii="宋体" w:hAnsi="宋体" w:cs="宋体"/>
          <w:color w:val="auto"/>
          <w:sz w:val="24"/>
          <w:szCs w:val="24"/>
          <w:highlight w:val="none"/>
        </w:rPr>
        <w:t>方供应服务管理系统的维护规范，及二维码标签管理要求。</w:t>
      </w:r>
    </w:p>
    <w:p w14:paraId="542B120F">
      <w:pPr>
        <w:pStyle w:val="20"/>
        <w:shd w:val="clear" w:color="auto" w:fill="FFFFFF"/>
        <w:spacing w:line="360" w:lineRule="auto"/>
        <w:rPr>
          <w:rFonts w:hint="default"/>
          <w:bCs/>
          <w:color w:val="auto"/>
          <w:kern w:val="2"/>
          <w:highlight w:val="none"/>
          <w:shd w:val="clear" w:color="auto" w:fill="FFFFFF"/>
        </w:rPr>
      </w:pPr>
      <w:r>
        <w:rPr>
          <w:color w:val="auto"/>
          <w:kern w:val="2"/>
          <w:highlight w:val="none"/>
          <w:shd w:val="clear" w:color="auto" w:fill="FFFFFF"/>
        </w:rPr>
        <w:t xml:space="preserve">  </w:t>
      </w:r>
      <w:r>
        <w:rPr>
          <w:rFonts w:hint="default"/>
          <w:color w:val="auto"/>
          <w:kern w:val="2"/>
          <w:highlight w:val="none"/>
          <w:shd w:val="clear" w:color="auto" w:fill="FFFFFF"/>
        </w:rPr>
        <w:t>6.</w:t>
      </w:r>
      <w:r>
        <w:rPr>
          <w:rFonts w:cs="宋体"/>
          <w:color w:val="auto"/>
          <w:kern w:val="2"/>
          <w:highlight w:val="none"/>
          <w:shd w:val="clear" w:color="auto" w:fill="FFFFFF"/>
        </w:rPr>
        <w:t xml:space="preserve">3. </w:t>
      </w:r>
      <w:r>
        <w:rPr>
          <w:rFonts w:cs="宋体"/>
          <w:bCs/>
          <w:color w:val="auto"/>
          <w:kern w:val="2"/>
          <w:highlight w:val="none"/>
          <w:shd w:val="clear" w:color="auto" w:fill="FFFFFF"/>
        </w:rPr>
        <w:t>二维码标签管理要求</w:t>
      </w:r>
    </w:p>
    <w:p w14:paraId="271B58E3">
      <w:pPr>
        <w:pStyle w:val="20"/>
        <w:shd w:val="clear" w:color="auto" w:fill="FFFFFF"/>
        <w:spacing w:line="360" w:lineRule="auto"/>
        <w:rPr>
          <w:rFonts w:hint="default"/>
          <w:color w:val="auto"/>
          <w:kern w:val="2"/>
          <w:highlight w:val="none"/>
          <w:shd w:val="clear" w:color="auto" w:fill="FFFFFF"/>
        </w:rPr>
      </w:pPr>
      <w:r>
        <w:rPr>
          <w:bCs/>
          <w:color w:val="auto"/>
          <w:kern w:val="2"/>
          <w:highlight w:val="none"/>
          <w:shd w:val="clear" w:color="auto" w:fill="FFFFFF"/>
        </w:rPr>
        <w:t xml:space="preserve">  </w:t>
      </w:r>
      <w:r>
        <w:rPr>
          <w:color w:val="auto"/>
          <w:kern w:val="2"/>
          <w:highlight w:val="none"/>
          <w:shd w:val="clear" w:color="auto" w:fill="FFFFFF"/>
        </w:rPr>
        <w:t xml:space="preserve"> </w:t>
      </w:r>
      <w:r>
        <w:rPr>
          <w:rFonts w:hint="default"/>
          <w:color w:val="auto"/>
          <w:kern w:val="2"/>
          <w:highlight w:val="none"/>
          <w:shd w:val="clear" w:color="auto" w:fill="FFFFFF"/>
        </w:rPr>
        <w:t>卖</w:t>
      </w:r>
      <w:r>
        <w:rPr>
          <w:rFonts w:cs="宋体"/>
          <w:color w:val="auto"/>
          <w:kern w:val="2"/>
          <w:highlight w:val="none"/>
          <w:shd w:val="clear" w:color="auto" w:fill="FFFFFF"/>
        </w:rPr>
        <w:t>方须严格按照</w:t>
      </w:r>
      <w:r>
        <w:rPr>
          <w:rFonts w:hint="default" w:cs="宋体"/>
          <w:color w:val="auto"/>
          <w:kern w:val="2"/>
          <w:highlight w:val="none"/>
          <w:shd w:val="clear" w:color="auto" w:fill="FFFFFF"/>
        </w:rPr>
        <w:t>买</w:t>
      </w:r>
      <w:r>
        <w:rPr>
          <w:rFonts w:cs="宋体"/>
          <w:color w:val="auto"/>
          <w:kern w:val="2"/>
          <w:highlight w:val="none"/>
          <w:shd w:val="clear" w:color="auto" w:fill="FFFFFF"/>
        </w:rPr>
        <w:t>方要求，通过供应服务管理系统生成动态二维码标签，严格执行"一物一码"，确保每个产品对应唯一且可追溯的识别标签。PP纸尺寸要求不得小于60mm×40mm，需保证标签清晰、可扫描、不易脱落。</w:t>
      </w:r>
    </w:p>
    <w:p w14:paraId="0CDE2728">
      <w:pPr>
        <w:pStyle w:val="20"/>
        <w:shd w:val="clear" w:color="auto" w:fill="FFFFFF"/>
        <w:spacing w:line="360" w:lineRule="auto"/>
        <w:rPr>
          <w:rFonts w:hint="default"/>
          <w:color w:val="auto"/>
          <w:kern w:val="2"/>
          <w:highlight w:val="none"/>
          <w:shd w:val="clear" w:color="auto" w:fill="FFFFFF"/>
        </w:rPr>
      </w:pPr>
      <w:r>
        <w:rPr>
          <w:color w:val="auto"/>
          <w:kern w:val="2"/>
          <w:highlight w:val="none"/>
          <w:shd w:val="clear" w:color="auto" w:fill="FFFFFF"/>
        </w:rPr>
        <w:t xml:space="preserve">   </w:t>
      </w:r>
      <w:r>
        <w:rPr>
          <w:rFonts w:hint="default"/>
          <w:color w:val="auto"/>
          <w:kern w:val="2"/>
          <w:highlight w:val="none"/>
          <w:shd w:val="clear" w:color="auto" w:fill="FFFFFF"/>
        </w:rPr>
        <w:t>买</w:t>
      </w:r>
      <w:r>
        <w:rPr>
          <w:rFonts w:cs="宋体"/>
          <w:color w:val="auto"/>
          <w:kern w:val="2"/>
          <w:highlight w:val="none"/>
          <w:shd w:val="clear" w:color="auto" w:fill="FFFFFF"/>
        </w:rPr>
        <w:t>方对</w:t>
      </w:r>
      <w:r>
        <w:rPr>
          <w:rFonts w:hint="default" w:cs="宋体"/>
          <w:color w:val="auto"/>
          <w:kern w:val="2"/>
          <w:highlight w:val="none"/>
          <w:shd w:val="clear" w:color="auto" w:fill="FFFFFF"/>
        </w:rPr>
        <w:t>卖</w:t>
      </w:r>
      <w:r>
        <w:rPr>
          <w:rFonts w:cs="宋体"/>
          <w:color w:val="auto"/>
          <w:kern w:val="2"/>
          <w:highlight w:val="none"/>
          <w:shd w:val="clear" w:color="auto" w:fill="FFFFFF"/>
        </w:rPr>
        <w:t>方采购热敏打印机的设备型号、及采购渠道不作限制性要求，但</w:t>
      </w:r>
      <w:r>
        <w:rPr>
          <w:rFonts w:hint="default" w:cs="宋体"/>
          <w:color w:val="auto"/>
          <w:kern w:val="2"/>
          <w:highlight w:val="none"/>
          <w:shd w:val="clear" w:color="auto" w:fill="FFFFFF"/>
        </w:rPr>
        <w:t>卖</w:t>
      </w:r>
      <w:r>
        <w:rPr>
          <w:rFonts w:cs="宋体"/>
          <w:color w:val="auto"/>
          <w:kern w:val="2"/>
          <w:highlight w:val="none"/>
          <w:shd w:val="clear" w:color="auto" w:fill="FFFFFF"/>
        </w:rPr>
        <w:t>方应确保所采购设备持续处于正常运行状态，能够完全满足</w:t>
      </w:r>
      <w:r>
        <w:rPr>
          <w:rFonts w:hint="default" w:cs="宋体"/>
          <w:color w:val="auto"/>
          <w:kern w:val="2"/>
          <w:highlight w:val="none"/>
          <w:shd w:val="clear" w:color="auto" w:fill="FFFFFF"/>
        </w:rPr>
        <w:t>买</w:t>
      </w:r>
      <w:r>
        <w:rPr>
          <w:rFonts w:cs="宋体"/>
          <w:color w:val="auto"/>
          <w:kern w:val="2"/>
          <w:highlight w:val="none"/>
          <w:shd w:val="clear" w:color="auto" w:fill="FFFFFF"/>
        </w:rPr>
        <w:t>方规定的标签打印质量及供货要求。如因设备故障、耗材短缺等</w:t>
      </w:r>
      <w:r>
        <w:rPr>
          <w:rFonts w:hint="default" w:cs="宋体"/>
          <w:color w:val="auto"/>
          <w:kern w:val="2"/>
          <w:highlight w:val="none"/>
          <w:shd w:val="clear" w:color="auto" w:fill="FFFFFF"/>
        </w:rPr>
        <w:t>卖</w:t>
      </w:r>
      <w:r>
        <w:rPr>
          <w:rFonts w:cs="宋体"/>
          <w:color w:val="auto"/>
          <w:kern w:val="2"/>
          <w:highlight w:val="none"/>
          <w:shd w:val="clear" w:color="auto" w:fill="FFFFFF"/>
        </w:rPr>
        <w:t>方自身原因导致标签打印中断，</w:t>
      </w:r>
      <w:r>
        <w:rPr>
          <w:rFonts w:hint="default" w:cs="宋体"/>
          <w:color w:val="auto"/>
          <w:kern w:val="2"/>
          <w:highlight w:val="none"/>
          <w:shd w:val="clear" w:color="auto" w:fill="FFFFFF"/>
        </w:rPr>
        <w:t>卖</w:t>
      </w:r>
      <w:r>
        <w:rPr>
          <w:rFonts w:cs="宋体"/>
          <w:color w:val="auto"/>
          <w:kern w:val="2"/>
          <w:highlight w:val="none"/>
          <w:shd w:val="clear" w:color="auto" w:fill="FFFFFF"/>
        </w:rPr>
        <w:t>方应于24小时内通知</w:t>
      </w:r>
      <w:r>
        <w:rPr>
          <w:rFonts w:hint="default" w:cs="宋体"/>
          <w:color w:val="auto"/>
          <w:kern w:val="2"/>
          <w:highlight w:val="none"/>
          <w:shd w:val="clear" w:color="auto" w:fill="FFFFFF"/>
        </w:rPr>
        <w:t>买</w:t>
      </w:r>
      <w:r>
        <w:rPr>
          <w:rFonts w:cs="宋体"/>
          <w:color w:val="auto"/>
          <w:kern w:val="2"/>
          <w:highlight w:val="none"/>
          <w:shd w:val="clear" w:color="auto" w:fill="FFFFFF"/>
        </w:rPr>
        <w:t>方，或与最终客户协商报备，并采取补救措施，确保标签供应不受影响。</w:t>
      </w:r>
    </w:p>
    <w:p w14:paraId="3CC6464A">
      <w:pPr>
        <w:pStyle w:val="20"/>
        <w:shd w:val="clear" w:color="auto" w:fill="FFFFFF"/>
        <w:spacing w:line="360" w:lineRule="auto"/>
        <w:rPr>
          <w:rFonts w:hint="default"/>
          <w:color w:val="auto"/>
          <w:kern w:val="2"/>
          <w:highlight w:val="none"/>
          <w:shd w:val="clear" w:color="auto" w:fill="FFFFFF"/>
        </w:rPr>
      </w:pPr>
      <w:r>
        <w:rPr>
          <w:color w:val="auto"/>
          <w:kern w:val="2"/>
          <w:highlight w:val="none"/>
          <w:shd w:val="clear" w:color="auto" w:fill="FFFFFF"/>
        </w:rPr>
        <w:t xml:space="preserve">   </w:t>
      </w:r>
      <w:r>
        <w:rPr>
          <w:rFonts w:hint="default"/>
          <w:color w:val="auto"/>
          <w:kern w:val="2"/>
          <w:highlight w:val="none"/>
          <w:shd w:val="clear" w:color="auto" w:fill="FFFFFF"/>
        </w:rPr>
        <w:t>买</w:t>
      </w:r>
      <w:r>
        <w:rPr>
          <w:rFonts w:cs="宋体"/>
          <w:color w:val="auto"/>
          <w:highlight w:val="none"/>
          <w:shd w:val="clear" w:color="auto" w:fill="FFFFFF"/>
        </w:rPr>
        <w:t>方享有对</w:t>
      </w:r>
      <w:r>
        <w:rPr>
          <w:rFonts w:hint="default" w:cs="宋体"/>
          <w:color w:val="auto"/>
          <w:highlight w:val="none"/>
          <w:shd w:val="clear" w:color="auto" w:fill="FFFFFF"/>
        </w:rPr>
        <w:t>卖</w:t>
      </w:r>
      <w:r>
        <w:rPr>
          <w:rFonts w:cs="宋体"/>
          <w:color w:val="auto"/>
          <w:highlight w:val="none"/>
          <w:shd w:val="clear" w:color="auto" w:fill="FFFFFF"/>
        </w:rPr>
        <w:t>方标签使用管理情况的监督检查权</w:t>
      </w:r>
      <w:r>
        <w:rPr>
          <w:rFonts w:cs="宋体"/>
          <w:color w:val="auto"/>
          <w:kern w:val="2"/>
          <w:highlight w:val="none"/>
          <w:shd w:val="clear" w:color="auto" w:fill="FFFFFF"/>
        </w:rPr>
        <w:t>，包括但不限于随机抽样检查。经查实存在</w:t>
      </w:r>
      <w:r>
        <w:rPr>
          <w:rFonts w:cs="宋体"/>
          <w:b/>
          <w:bCs/>
          <w:color w:val="auto"/>
          <w:kern w:val="2"/>
          <w:highlight w:val="none"/>
          <w:shd w:val="clear" w:color="auto" w:fill="FFFFFF"/>
        </w:rPr>
        <w:t>漏贴、错贴、重复贴码</w:t>
      </w:r>
      <w:r>
        <w:rPr>
          <w:rFonts w:cs="宋体"/>
          <w:color w:val="auto"/>
          <w:kern w:val="2"/>
          <w:highlight w:val="none"/>
          <w:shd w:val="clear" w:color="auto" w:fill="FFFFFF"/>
        </w:rPr>
        <w:t>等不符合“一物一码”管理要求的情况，</w:t>
      </w:r>
      <w:r>
        <w:rPr>
          <w:rFonts w:hint="default" w:cs="宋体"/>
          <w:color w:val="auto"/>
          <w:kern w:val="2"/>
          <w:highlight w:val="none"/>
          <w:shd w:val="clear" w:color="auto" w:fill="FFFFFF"/>
        </w:rPr>
        <w:t>买</w:t>
      </w:r>
      <w:r>
        <w:rPr>
          <w:rFonts w:cs="宋体"/>
          <w:color w:val="auto"/>
          <w:kern w:val="2"/>
          <w:highlight w:val="none"/>
          <w:shd w:val="clear" w:color="auto" w:fill="FFFFFF"/>
        </w:rPr>
        <w:t>方将依照《服务考核细则》约定的相关标准</w:t>
      </w:r>
      <w:r>
        <w:rPr>
          <w:rFonts w:cs="宋体"/>
          <w:color w:val="auto"/>
          <w:highlight w:val="none"/>
          <w:shd w:val="clear" w:color="auto" w:fill="FFFFFF"/>
        </w:rPr>
        <w:t>采取相应扣罚措施</w:t>
      </w:r>
      <w:r>
        <w:rPr>
          <w:rFonts w:cs="宋体"/>
          <w:color w:val="auto"/>
          <w:kern w:val="2"/>
          <w:highlight w:val="none"/>
          <w:shd w:val="clear" w:color="auto" w:fill="FFFFFF"/>
        </w:rPr>
        <w:t>。</w:t>
      </w:r>
    </w:p>
    <w:p w14:paraId="07BC3244">
      <w:pPr>
        <w:pStyle w:val="20"/>
        <w:shd w:val="clear" w:color="auto" w:fill="FFFFFF"/>
        <w:spacing w:line="360" w:lineRule="auto"/>
        <w:rPr>
          <w:rFonts w:hint="default"/>
          <w:color w:val="auto"/>
          <w:kern w:val="2"/>
          <w:highlight w:val="none"/>
          <w:shd w:val="clear" w:color="auto" w:fill="FFFFFF"/>
        </w:rPr>
      </w:pPr>
      <w:r>
        <w:rPr>
          <w:color w:val="auto"/>
          <w:kern w:val="2"/>
          <w:highlight w:val="none"/>
          <w:shd w:val="clear" w:color="auto" w:fill="FFFFFF"/>
        </w:rPr>
        <w:t xml:space="preserve">   </w:t>
      </w:r>
      <w:r>
        <w:rPr>
          <w:rFonts w:cs="宋体"/>
          <w:color w:val="auto"/>
          <w:kern w:val="2"/>
          <w:highlight w:val="none"/>
          <w:shd w:val="clear" w:color="auto" w:fill="FFFFFF"/>
        </w:rPr>
        <w:t>若</w:t>
      </w:r>
      <w:r>
        <w:rPr>
          <w:rFonts w:hint="default" w:cs="宋体"/>
          <w:color w:val="auto"/>
          <w:kern w:val="2"/>
          <w:highlight w:val="none"/>
          <w:shd w:val="clear" w:color="auto" w:fill="FFFFFF"/>
        </w:rPr>
        <w:t>卖</w:t>
      </w:r>
      <w:r>
        <w:rPr>
          <w:rFonts w:cs="宋体"/>
          <w:color w:val="auto"/>
          <w:kern w:val="2"/>
          <w:highlight w:val="none"/>
          <w:shd w:val="clear" w:color="auto" w:fill="FFFFFF"/>
        </w:rPr>
        <w:t>方因自身原因无法满足标签打印要求，可选择向</w:t>
      </w:r>
      <w:r>
        <w:rPr>
          <w:rFonts w:hint="default" w:cs="宋体"/>
          <w:color w:val="auto"/>
          <w:kern w:val="2"/>
          <w:highlight w:val="none"/>
          <w:shd w:val="clear" w:color="auto" w:fill="FFFFFF"/>
        </w:rPr>
        <w:t>买</w:t>
      </w:r>
      <w:r>
        <w:rPr>
          <w:rFonts w:cs="宋体"/>
          <w:color w:val="auto"/>
          <w:kern w:val="2"/>
          <w:highlight w:val="none"/>
          <w:shd w:val="clear" w:color="auto" w:fill="FFFFFF"/>
        </w:rPr>
        <w:t>方申请采购空码标签，此项采购行为应基于双方自愿原则进行。</w:t>
      </w:r>
      <w:r>
        <w:rPr>
          <w:rFonts w:hint="default" w:cs="宋体"/>
          <w:color w:val="auto"/>
          <w:kern w:val="2"/>
          <w:highlight w:val="none"/>
          <w:shd w:val="clear" w:color="auto" w:fill="FFFFFF"/>
        </w:rPr>
        <w:t>卖</w:t>
      </w:r>
      <w:r>
        <w:rPr>
          <w:rFonts w:cs="宋体"/>
          <w:color w:val="auto"/>
          <w:kern w:val="2"/>
          <w:highlight w:val="none"/>
          <w:shd w:val="clear" w:color="auto" w:fill="FFFFFF"/>
        </w:rPr>
        <w:t>方不得以“</w:t>
      </w:r>
      <w:r>
        <w:rPr>
          <w:rFonts w:cs="宋体"/>
          <w:b/>
          <w:bCs/>
          <w:color w:val="auto"/>
          <w:kern w:val="2"/>
          <w:highlight w:val="none"/>
          <w:shd w:val="clear" w:color="auto" w:fill="FFFFFF"/>
        </w:rPr>
        <w:t>设备故障</w:t>
      </w:r>
      <w:r>
        <w:rPr>
          <w:rFonts w:cs="宋体"/>
          <w:color w:val="auto"/>
          <w:kern w:val="2"/>
          <w:highlight w:val="none"/>
          <w:shd w:val="clear" w:color="auto" w:fill="FFFFFF"/>
        </w:rPr>
        <w:t>”“</w:t>
      </w:r>
      <w:r>
        <w:rPr>
          <w:rFonts w:cs="宋体"/>
          <w:b/>
          <w:bCs/>
          <w:color w:val="auto"/>
          <w:kern w:val="2"/>
          <w:highlight w:val="none"/>
          <w:shd w:val="clear" w:color="auto" w:fill="FFFFFF"/>
        </w:rPr>
        <w:t>标签不足</w:t>
      </w:r>
      <w:r>
        <w:rPr>
          <w:rFonts w:cs="宋体"/>
          <w:color w:val="auto"/>
          <w:kern w:val="2"/>
          <w:highlight w:val="none"/>
          <w:shd w:val="clear" w:color="auto" w:fill="FFFFFF"/>
        </w:rPr>
        <w:t>”等理由逃避、或</w:t>
      </w:r>
      <w:r>
        <w:rPr>
          <w:rFonts w:cs="宋体"/>
          <w:color w:val="auto"/>
          <w:highlight w:val="none"/>
          <w:shd w:val="clear" w:color="auto" w:fill="FFFFFF"/>
        </w:rPr>
        <w:t>迟延履行</w:t>
      </w:r>
      <w:r>
        <w:rPr>
          <w:rFonts w:cs="宋体"/>
          <w:color w:val="auto"/>
          <w:kern w:val="2"/>
          <w:highlight w:val="none"/>
          <w:shd w:val="clear" w:color="auto" w:fill="FFFFFF"/>
        </w:rPr>
        <w:t>贴码责任，否则</w:t>
      </w:r>
      <w:r>
        <w:rPr>
          <w:rFonts w:hint="default" w:cs="宋体"/>
          <w:color w:val="auto"/>
          <w:kern w:val="2"/>
          <w:highlight w:val="none"/>
          <w:shd w:val="clear" w:color="auto" w:fill="FFFFFF"/>
        </w:rPr>
        <w:t>买</w:t>
      </w:r>
      <w:r>
        <w:rPr>
          <w:rFonts w:cs="宋体"/>
          <w:color w:val="auto"/>
          <w:kern w:val="2"/>
          <w:highlight w:val="none"/>
          <w:shd w:val="clear" w:color="auto" w:fill="FFFFFF"/>
        </w:rPr>
        <w:t>方有权追究责任。</w:t>
      </w:r>
    </w:p>
    <w:p w14:paraId="3F57A61A">
      <w:pPr>
        <w:spacing w:line="360" w:lineRule="auto"/>
        <w:ind w:firstLine="0" w:firstLineChars="0"/>
        <w:rPr>
          <w:rFonts w:ascii="宋体" w:hAnsi="宋体"/>
          <w:color w:val="auto"/>
          <w:sz w:val="24"/>
          <w:szCs w:val="24"/>
          <w:highlight w:val="none"/>
        </w:rPr>
      </w:pPr>
      <w:r>
        <w:rPr>
          <w:rFonts w:ascii="宋体" w:hAnsi="宋体" w:cs="宋体"/>
          <w:color w:val="auto"/>
          <w:sz w:val="24"/>
          <w:szCs w:val="24"/>
          <w:highlight w:val="none"/>
        </w:rPr>
        <w:t xml:space="preserve">  6.</w:t>
      </w:r>
      <w:r>
        <w:rPr>
          <w:rFonts w:hint="eastAsia" w:ascii="宋体" w:hAnsi="宋体" w:cs="宋体"/>
          <w:color w:val="auto"/>
          <w:sz w:val="24"/>
          <w:szCs w:val="24"/>
          <w:highlight w:val="none"/>
        </w:rPr>
        <w:t>4.</w:t>
      </w:r>
      <w:r>
        <w:rPr>
          <w:rFonts w:ascii="宋体" w:hAnsi="宋体" w:cs="宋体"/>
          <w:color w:val="auto"/>
          <w:sz w:val="24"/>
          <w:szCs w:val="24"/>
          <w:highlight w:val="none"/>
        </w:rPr>
        <w:t>卖</w:t>
      </w:r>
      <w:r>
        <w:rPr>
          <w:rFonts w:hint="eastAsia" w:ascii="宋体" w:hAnsi="宋体" w:cs="宋体"/>
          <w:color w:val="auto"/>
          <w:sz w:val="24"/>
          <w:szCs w:val="24"/>
          <w:highlight w:val="none"/>
        </w:rPr>
        <w:t>方安装设备时应做到：</w:t>
      </w:r>
    </w:p>
    <w:p w14:paraId="05E262B1">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在接到最终用户或</w:t>
      </w:r>
      <w:r>
        <w:rPr>
          <w:rFonts w:ascii="宋体" w:hAnsi="宋体" w:cs="宋体"/>
          <w:color w:val="auto"/>
          <w:sz w:val="24"/>
          <w:szCs w:val="24"/>
          <w:highlight w:val="none"/>
        </w:rPr>
        <w:t>买</w:t>
      </w:r>
      <w:r>
        <w:rPr>
          <w:rFonts w:hint="eastAsia" w:ascii="宋体" w:hAnsi="宋体" w:cs="宋体"/>
          <w:color w:val="auto"/>
          <w:sz w:val="24"/>
          <w:szCs w:val="24"/>
          <w:highlight w:val="none"/>
        </w:rPr>
        <w:t>方的安装要求后4个小时内安排安装人员到达</w:t>
      </w:r>
      <w:r>
        <w:rPr>
          <w:rFonts w:ascii="宋体" w:hAnsi="宋体" w:cs="宋体"/>
          <w:color w:val="auto"/>
          <w:sz w:val="24"/>
          <w:szCs w:val="24"/>
          <w:highlight w:val="none"/>
        </w:rPr>
        <w:t>买</w:t>
      </w:r>
      <w:r>
        <w:rPr>
          <w:rFonts w:hint="eastAsia" w:ascii="宋体" w:hAnsi="宋体" w:cs="宋体"/>
          <w:color w:val="auto"/>
          <w:sz w:val="24"/>
          <w:szCs w:val="24"/>
          <w:highlight w:val="none"/>
        </w:rPr>
        <w:t>方指定地点进行安装调试，并根据实际情况与最终用户沟通确认完成安装调试的时间（</w:t>
      </w:r>
      <w:r>
        <w:rPr>
          <w:rFonts w:ascii="宋体" w:hAnsi="宋体" w:cs="宋体"/>
          <w:color w:val="auto"/>
          <w:sz w:val="24"/>
          <w:szCs w:val="24"/>
          <w:highlight w:val="none"/>
        </w:rPr>
        <w:t>卖</w:t>
      </w:r>
      <w:r>
        <w:rPr>
          <w:rFonts w:hint="eastAsia" w:ascii="宋体" w:hAnsi="宋体" w:cs="宋体"/>
          <w:color w:val="auto"/>
          <w:sz w:val="24"/>
          <w:szCs w:val="24"/>
          <w:highlight w:val="none"/>
        </w:rPr>
        <w:t>方应在1个工作日内完成安装调试，设备数量较多时则以客户需求为准。）安装调试完成后应及时反馈给</w:t>
      </w:r>
      <w:r>
        <w:rPr>
          <w:rFonts w:ascii="宋体" w:hAnsi="宋体" w:cs="宋体"/>
          <w:color w:val="auto"/>
          <w:sz w:val="24"/>
          <w:szCs w:val="24"/>
          <w:highlight w:val="none"/>
        </w:rPr>
        <w:t>买</w:t>
      </w:r>
      <w:r>
        <w:rPr>
          <w:rFonts w:hint="eastAsia" w:ascii="宋体" w:hAnsi="宋体" w:cs="宋体"/>
          <w:color w:val="auto"/>
          <w:sz w:val="24"/>
          <w:szCs w:val="24"/>
          <w:highlight w:val="none"/>
        </w:rPr>
        <w:t>方，并按照</w:t>
      </w:r>
      <w:r>
        <w:rPr>
          <w:rFonts w:ascii="宋体" w:hAnsi="宋体" w:cs="宋体"/>
          <w:color w:val="auto"/>
          <w:sz w:val="24"/>
          <w:szCs w:val="24"/>
          <w:highlight w:val="none"/>
        </w:rPr>
        <w:t>买</w:t>
      </w:r>
      <w:r>
        <w:rPr>
          <w:rFonts w:hint="eastAsia" w:ascii="宋体" w:hAnsi="宋体" w:cs="宋体"/>
          <w:color w:val="auto"/>
          <w:sz w:val="24"/>
          <w:szCs w:val="24"/>
          <w:highlight w:val="none"/>
        </w:rPr>
        <w:t>方要求由最终用户填写《厦门市政府采购验收报告》，五个工作日内上传或报送给</w:t>
      </w:r>
      <w:r>
        <w:rPr>
          <w:rFonts w:ascii="宋体" w:hAnsi="宋体" w:cs="宋体"/>
          <w:color w:val="auto"/>
          <w:sz w:val="24"/>
          <w:szCs w:val="24"/>
          <w:highlight w:val="none"/>
        </w:rPr>
        <w:t>买</w:t>
      </w:r>
      <w:r>
        <w:rPr>
          <w:rFonts w:hint="eastAsia" w:ascii="宋体" w:hAnsi="宋体" w:cs="宋体"/>
          <w:color w:val="auto"/>
          <w:sz w:val="24"/>
          <w:szCs w:val="24"/>
          <w:highlight w:val="none"/>
        </w:rPr>
        <w:t>方。</w:t>
      </w:r>
    </w:p>
    <w:p w14:paraId="2E234DAB">
      <w:pPr>
        <w:numPr>
          <w:ilvl w:val="0"/>
          <w:numId w:val="4"/>
        </w:num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安装前：</w:t>
      </w:r>
    </w:p>
    <w:p w14:paraId="0BAD6D45">
      <w:pPr>
        <w:numPr>
          <w:ilvl w:val="0"/>
          <w:numId w:val="5"/>
        </w:numPr>
        <w:spacing w:line="360" w:lineRule="auto"/>
        <w:rPr>
          <w:rFonts w:ascii="宋体" w:hAnsi="宋体"/>
          <w:color w:val="auto"/>
          <w:sz w:val="24"/>
          <w:szCs w:val="24"/>
          <w:highlight w:val="none"/>
        </w:rPr>
      </w:pPr>
      <w:r>
        <w:rPr>
          <w:rFonts w:hint="eastAsia" w:ascii="宋体" w:hAnsi="宋体" w:cs="宋体"/>
          <w:color w:val="auto"/>
          <w:sz w:val="24"/>
          <w:szCs w:val="24"/>
          <w:highlight w:val="none"/>
        </w:rPr>
        <w:t>安装前需携带动态二维码标签（一物一码）、《厦门市政府采购验收报告》。</w:t>
      </w:r>
      <w:r>
        <w:rPr>
          <w:rFonts w:hint="eastAsia" w:ascii="宋体" w:hAnsi="宋体"/>
          <w:color w:val="auto"/>
          <w:sz w:val="24"/>
          <w:szCs w:val="24"/>
          <w:highlight w:val="none"/>
        </w:rPr>
        <w:t xml:space="preserve">  </w:t>
      </w:r>
    </w:p>
    <w:p w14:paraId="7149CB1D">
      <w:pPr>
        <w:spacing w:line="360" w:lineRule="auto"/>
        <w:ind w:firstLine="410" w:firstLineChars="171"/>
        <w:rPr>
          <w:rFonts w:ascii="宋体" w:hAnsi="宋体"/>
          <w:color w:val="auto"/>
          <w:sz w:val="24"/>
          <w:szCs w:val="24"/>
          <w:highlight w:val="none"/>
        </w:rPr>
      </w:pPr>
      <w:r>
        <w:rPr>
          <w:rFonts w:hint="eastAsia" w:ascii="宋体" w:hAnsi="宋体" w:cs="宋体"/>
          <w:color w:val="auto"/>
          <w:sz w:val="24"/>
          <w:szCs w:val="24"/>
          <w:highlight w:val="none"/>
        </w:rPr>
        <w:t>标签制作规范：使用热敏式打印机、PP合成纸，尺寸不小于：60mm*40mm；并确保二维码清晰可读，信息完善有效。</w:t>
      </w:r>
    </w:p>
    <w:p w14:paraId="32E2C55D">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2)安装前应与最终用户核对机器型号、配置和台数，确认无误后再安装；</w:t>
      </w:r>
    </w:p>
    <w:p w14:paraId="68A08697">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3)上门服务人员应着品牌工装；</w:t>
      </w:r>
    </w:p>
    <w:p w14:paraId="6C9B9668">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4)安装前应检查最终用户的电源电压是否安全稳定，如有问题，应及时告知最终用户，协商整改；</w:t>
      </w:r>
    </w:p>
    <w:p w14:paraId="65CFF144">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B、安装过程中：</w:t>
      </w:r>
    </w:p>
    <w:p w14:paraId="2912AECB">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1) 到达指定安装地点后，登录小程序“售后中台”，确认上门；</w:t>
      </w:r>
    </w:p>
    <w:p w14:paraId="0A6085C1">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 xml:space="preserve">2) 开箱验机，检查设备外观完好； </w:t>
      </w:r>
    </w:p>
    <w:p w14:paraId="353B4F25">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3) 检查每台机器的服务编号；</w:t>
      </w:r>
    </w:p>
    <w:p w14:paraId="2945F17A">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 xml:space="preserve">4) 如果设备在运输过程中出现损伤，免费给最终用户更换新设备； </w:t>
      </w:r>
    </w:p>
    <w:p w14:paraId="6D1359F2">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 xml:space="preserve">5) 协助负责人派发机器到用户的座位上； </w:t>
      </w:r>
    </w:p>
    <w:p w14:paraId="52E3C63C">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 xml:space="preserve">6) 检查机器及相关配件是否齐全； </w:t>
      </w:r>
    </w:p>
    <w:p w14:paraId="67AAF21F">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7) 给新机器连接线缆；</w:t>
      </w:r>
    </w:p>
    <w:p w14:paraId="539C80D5">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8) 安装电源线，上电开机测试；</w:t>
      </w:r>
    </w:p>
    <w:p w14:paraId="3FC24782">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9)</w:t>
      </w:r>
      <w:r>
        <w:rPr>
          <w:rFonts w:ascii="宋体" w:hAnsi="宋体" w:cs="宋体"/>
          <w:color w:val="auto"/>
          <w:sz w:val="24"/>
          <w:szCs w:val="24"/>
          <w:highlight w:val="none"/>
        </w:rPr>
        <w:t>卖</w:t>
      </w:r>
      <w:r>
        <w:rPr>
          <w:rFonts w:hint="eastAsia" w:ascii="宋体" w:hAnsi="宋体" w:cs="宋体"/>
          <w:color w:val="auto"/>
          <w:sz w:val="24"/>
          <w:szCs w:val="24"/>
          <w:highlight w:val="none"/>
        </w:rPr>
        <w:t>方应免费提供所有设备的安装、调试及激活服务，包括配套应用软件。安装完成后，</w:t>
      </w:r>
      <w:r>
        <w:rPr>
          <w:rFonts w:ascii="宋体" w:hAnsi="宋体" w:cs="宋体"/>
          <w:color w:val="auto"/>
          <w:sz w:val="24"/>
          <w:szCs w:val="24"/>
          <w:highlight w:val="none"/>
        </w:rPr>
        <w:t>卖</w:t>
      </w:r>
      <w:r>
        <w:rPr>
          <w:rFonts w:hint="eastAsia" w:ascii="宋体" w:hAnsi="宋体" w:cs="宋体"/>
          <w:color w:val="auto"/>
          <w:sz w:val="24"/>
          <w:szCs w:val="24"/>
          <w:highlight w:val="none"/>
        </w:rPr>
        <w:t>方须在设备上粘贴二维码标签，并登录登录小程序“售后中台”，扫描动态二维码绑定订单，同时录入机身序列号。如现场无法完成扫码录入，</w:t>
      </w:r>
      <w:r>
        <w:rPr>
          <w:rFonts w:ascii="宋体" w:hAnsi="宋体" w:cs="宋体"/>
          <w:color w:val="auto"/>
          <w:sz w:val="24"/>
          <w:szCs w:val="24"/>
          <w:highlight w:val="none"/>
        </w:rPr>
        <w:t>卖</w:t>
      </w:r>
      <w:r>
        <w:rPr>
          <w:rFonts w:hint="eastAsia" w:ascii="宋体" w:hAnsi="宋体" w:cs="宋体"/>
          <w:color w:val="auto"/>
          <w:sz w:val="24"/>
          <w:szCs w:val="24"/>
          <w:highlight w:val="none"/>
        </w:rPr>
        <w:t>方应在安装完成后2个工作日内，登录</w:t>
      </w:r>
      <w:r>
        <w:rPr>
          <w:rFonts w:ascii="宋体" w:hAnsi="宋体" w:cs="宋体"/>
          <w:color w:val="auto"/>
          <w:sz w:val="24"/>
          <w:szCs w:val="24"/>
          <w:highlight w:val="none"/>
        </w:rPr>
        <w:t>买</w:t>
      </w:r>
      <w:r>
        <w:rPr>
          <w:rFonts w:hint="eastAsia" w:ascii="宋体" w:hAnsi="宋体" w:cs="宋体"/>
          <w:color w:val="auto"/>
          <w:sz w:val="24"/>
          <w:szCs w:val="24"/>
          <w:highlight w:val="none"/>
        </w:rPr>
        <w:t>方平台或小程序进行补入。</w:t>
      </w:r>
    </w:p>
    <w:p w14:paraId="433B1EE2">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9）协助最终用户安装外设等常用设备。并根据最终用户需求进行设置。</w:t>
      </w:r>
    </w:p>
    <w:p w14:paraId="519ADFAB">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C、安装完成：</w:t>
      </w:r>
    </w:p>
    <w:p w14:paraId="7CF7371F">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1)安装完毕，确认产品的正常运行。</w:t>
      </w:r>
    </w:p>
    <w:p w14:paraId="00120740">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2)安装完毕，应向最终用户详细讲解保修条例，</w:t>
      </w:r>
      <w:r>
        <w:rPr>
          <w:rFonts w:ascii="宋体" w:hAnsi="宋体" w:cs="宋体"/>
          <w:color w:val="auto"/>
          <w:sz w:val="24"/>
          <w:szCs w:val="24"/>
          <w:highlight w:val="none"/>
        </w:rPr>
        <w:t>卖</w:t>
      </w:r>
      <w:r>
        <w:rPr>
          <w:rFonts w:hint="eastAsia" w:ascii="宋体" w:hAnsi="宋体" w:cs="宋体"/>
          <w:color w:val="auto"/>
          <w:sz w:val="24"/>
          <w:szCs w:val="24"/>
          <w:highlight w:val="none"/>
        </w:rPr>
        <w:t>方应为合同设备建立完整的客户档案，保修期内，当合同设备发生维修，而最终用户无法提供发票或保修卡时，</w:t>
      </w:r>
      <w:r>
        <w:rPr>
          <w:rFonts w:ascii="宋体" w:hAnsi="宋体" w:cs="宋体"/>
          <w:color w:val="auto"/>
          <w:sz w:val="24"/>
          <w:szCs w:val="24"/>
          <w:highlight w:val="none"/>
        </w:rPr>
        <w:t>卖</w:t>
      </w:r>
      <w:r>
        <w:rPr>
          <w:rFonts w:hint="eastAsia" w:ascii="宋体" w:hAnsi="宋体" w:cs="宋体"/>
          <w:color w:val="auto"/>
          <w:sz w:val="24"/>
          <w:szCs w:val="24"/>
          <w:highlight w:val="none"/>
        </w:rPr>
        <w:t>方应根据自身留存的档案，为最终用户提供应有的保修服务。</w:t>
      </w:r>
    </w:p>
    <w:p w14:paraId="7D9759AD">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3)安装完毕，应向最终用户详细讲解使用操作方法和日常维护保养措施，耐心解答最终用户提出的问题，并留下服务电话；并再次确认设备合适的地方已填粘贴二维码标签，以方便最终用户扫码报修。</w:t>
      </w:r>
    </w:p>
    <w:p w14:paraId="30D423A8">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4）安装完毕，应把工作现场打扫干净，将工具等物品复位。</w:t>
      </w:r>
    </w:p>
    <w:p w14:paraId="2BD1E2D6">
      <w:pPr>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5）安装完毕，</w:t>
      </w:r>
      <w:r>
        <w:rPr>
          <w:rFonts w:ascii="宋体" w:hAnsi="宋体" w:cs="宋体"/>
          <w:color w:val="auto"/>
          <w:sz w:val="24"/>
          <w:szCs w:val="24"/>
          <w:highlight w:val="none"/>
        </w:rPr>
        <w:t>卖</w:t>
      </w:r>
      <w:r>
        <w:rPr>
          <w:rFonts w:hint="eastAsia" w:ascii="宋体" w:hAnsi="宋体" w:cs="宋体"/>
          <w:color w:val="auto"/>
          <w:sz w:val="24"/>
          <w:szCs w:val="24"/>
          <w:highlight w:val="none"/>
        </w:rPr>
        <w:t>方应让最终用户验收并签字确认，并于5个工作日内完成以下工作：登录</w:t>
      </w:r>
      <w:r>
        <w:rPr>
          <w:rFonts w:ascii="宋体" w:hAnsi="宋体" w:cs="宋体"/>
          <w:color w:val="auto"/>
          <w:sz w:val="24"/>
          <w:szCs w:val="24"/>
          <w:highlight w:val="none"/>
        </w:rPr>
        <w:t>买</w:t>
      </w:r>
      <w:r>
        <w:rPr>
          <w:rFonts w:hint="eastAsia" w:ascii="宋体" w:hAnsi="宋体" w:cs="宋体"/>
          <w:color w:val="auto"/>
          <w:sz w:val="24"/>
          <w:szCs w:val="24"/>
          <w:highlight w:val="none"/>
        </w:rPr>
        <w:t>方供应服务管理系统，或小程序“售后总台”，上传电子版《厦门市政府采购验收报告》；并将纸质版验收报告移交</w:t>
      </w:r>
      <w:r>
        <w:rPr>
          <w:rFonts w:ascii="宋体" w:hAnsi="宋体" w:cs="宋体"/>
          <w:color w:val="auto"/>
          <w:sz w:val="24"/>
          <w:szCs w:val="24"/>
          <w:highlight w:val="none"/>
        </w:rPr>
        <w:t>买</w:t>
      </w:r>
      <w:r>
        <w:rPr>
          <w:rFonts w:hint="eastAsia" w:ascii="宋体" w:hAnsi="宋体" w:cs="宋体"/>
          <w:color w:val="auto"/>
          <w:sz w:val="24"/>
          <w:szCs w:val="24"/>
          <w:highlight w:val="none"/>
        </w:rPr>
        <w:t>方归档。</w:t>
      </w:r>
    </w:p>
    <w:p w14:paraId="1C1376E4">
      <w:pPr>
        <w:widowControl/>
        <w:spacing w:line="360" w:lineRule="auto"/>
        <w:jc w:val="left"/>
        <w:rPr>
          <w:color w:val="auto"/>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6</w:t>
      </w:r>
      <w:r>
        <w:rPr>
          <w:rFonts w:ascii="宋体" w:hAnsi="宋体" w:cs="宋体"/>
          <w:color w:val="auto"/>
          <w:sz w:val="24"/>
          <w:szCs w:val="24"/>
          <w:highlight w:val="none"/>
        </w:rPr>
        <w:t>.5</w:t>
      </w:r>
      <w:r>
        <w:rPr>
          <w:rFonts w:hint="eastAsia" w:ascii="宋体" w:hAnsi="宋体" w:cs="宋体"/>
          <w:color w:val="auto"/>
          <w:sz w:val="24"/>
          <w:szCs w:val="24"/>
          <w:highlight w:val="none"/>
        </w:rPr>
        <w:t xml:space="preserve"> </w:t>
      </w:r>
      <w:r>
        <w:rPr>
          <w:rFonts w:ascii="宋体" w:hAnsi="宋体" w:cs="宋体"/>
          <w:color w:val="auto"/>
          <w:sz w:val="24"/>
          <w:szCs w:val="24"/>
          <w:highlight w:val="none"/>
        </w:rPr>
        <w:t>卖</w:t>
      </w:r>
      <w:r>
        <w:rPr>
          <w:rFonts w:hint="eastAsia" w:ascii="宋体" w:hAnsi="宋体" w:cs="宋体"/>
          <w:color w:val="auto"/>
          <w:sz w:val="24"/>
          <w:szCs w:val="24"/>
          <w:highlight w:val="none"/>
        </w:rPr>
        <w:t>方应每日按</w:t>
      </w:r>
      <w:r>
        <w:rPr>
          <w:rFonts w:ascii="宋体" w:hAnsi="宋体" w:cs="宋体"/>
          <w:color w:val="auto"/>
          <w:sz w:val="24"/>
          <w:szCs w:val="24"/>
          <w:highlight w:val="none"/>
        </w:rPr>
        <w:t>买</w:t>
      </w:r>
      <w:r>
        <w:rPr>
          <w:rFonts w:hint="eastAsia" w:ascii="宋体" w:hAnsi="宋体" w:cs="宋体"/>
          <w:color w:val="auto"/>
          <w:sz w:val="24"/>
          <w:szCs w:val="24"/>
          <w:highlight w:val="none"/>
        </w:rPr>
        <w:t>方要求，在</w:t>
      </w:r>
      <w:r>
        <w:rPr>
          <w:rFonts w:ascii="宋体" w:hAnsi="宋体" w:cs="宋体"/>
          <w:color w:val="auto"/>
          <w:sz w:val="24"/>
          <w:szCs w:val="24"/>
          <w:highlight w:val="none"/>
        </w:rPr>
        <w:t>买</w:t>
      </w:r>
      <w:r>
        <w:rPr>
          <w:rFonts w:hint="eastAsia" w:ascii="宋体" w:hAnsi="宋体" w:cs="宋体"/>
          <w:color w:val="auto"/>
          <w:sz w:val="24"/>
          <w:szCs w:val="24"/>
          <w:highlight w:val="none"/>
        </w:rPr>
        <w:t>方供应服务管理系统更新以下信息：设备安装进度、最终用户反馈内容处理情况、及上传已签字盖章的验收报告。如</w:t>
      </w:r>
      <w:r>
        <w:rPr>
          <w:rFonts w:ascii="宋体" w:hAnsi="宋体" w:cs="宋体"/>
          <w:color w:val="auto"/>
          <w:sz w:val="24"/>
          <w:szCs w:val="24"/>
          <w:highlight w:val="none"/>
        </w:rPr>
        <w:t>买</w:t>
      </w:r>
      <w:r>
        <w:rPr>
          <w:rFonts w:hint="eastAsia" w:ascii="宋体" w:hAnsi="宋体" w:cs="宋体"/>
          <w:color w:val="auto"/>
          <w:sz w:val="24"/>
          <w:szCs w:val="24"/>
          <w:highlight w:val="none"/>
        </w:rPr>
        <w:t>方有其他报表要求，</w:t>
      </w:r>
      <w:r>
        <w:rPr>
          <w:rFonts w:ascii="宋体" w:hAnsi="宋体" w:cs="宋体"/>
          <w:color w:val="auto"/>
          <w:sz w:val="24"/>
          <w:szCs w:val="24"/>
          <w:highlight w:val="none"/>
        </w:rPr>
        <w:t>卖</w:t>
      </w:r>
      <w:r>
        <w:rPr>
          <w:rFonts w:hint="eastAsia" w:ascii="宋体" w:hAnsi="宋体" w:cs="宋体"/>
          <w:color w:val="auto"/>
          <w:sz w:val="24"/>
          <w:szCs w:val="24"/>
          <w:highlight w:val="none"/>
        </w:rPr>
        <w:t xml:space="preserve">方应按规定及时更新并提交。 </w:t>
      </w:r>
    </w:p>
    <w:p w14:paraId="02F23318">
      <w:pPr>
        <w:numPr>
          <w:ilvl w:val="255"/>
          <w:numId w:val="0"/>
        </w:numPr>
        <w:adjustRightInd w:val="0"/>
        <w:snapToGrid w:val="0"/>
        <w:spacing w:line="360" w:lineRule="auto"/>
        <w:rPr>
          <w:rFonts w:ascii="宋体" w:hAnsi="宋体"/>
          <w:b/>
          <w:bCs/>
          <w:color w:val="auto"/>
          <w:sz w:val="24"/>
          <w:szCs w:val="24"/>
          <w:highlight w:val="none"/>
        </w:rPr>
      </w:pPr>
    </w:p>
    <w:p w14:paraId="03EB3D8E">
      <w:pPr>
        <w:adjustRightInd w:val="0"/>
        <w:snapToGrid w:val="0"/>
        <w:spacing w:line="360" w:lineRule="auto"/>
        <w:rPr>
          <w:rFonts w:ascii="宋体" w:hAnsi="宋体"/>
          <w:b/>
          <w:bCs/>
          <w:color w:val="auto"/>
          <w:sz w:val="24"/>
          <w:szCs w:val="24"/>
          <w:highlight w:val="none"/>
        </w:rPr>
      </w:pPr>
      <w:r>
        <w:rPr>
          <w:rFonts w:ascii="宋体" w:hAnsi="宋体"/>
          <w:b/>
          <w:bCs/>
          <w:color w:val="auto"/>
          <w:sz w:val="24"/>
          <w:szCs w:val="24"/>
          <w:highlight w:val="none"/>
        </w:rPr>
        <w:t>7</w:t>
      </w:r>
      <w:r>
        <w:rPr>
          <w:rFonts w:hint="eastAsia" w:ascii="宋体" w:hAnsi="宋体"/>
          <w:b/>
          <w:bCs/>
          <w:color w:val="auto"/>
          <w:sz w:val="24"/>
          <w:szCs w:val="24"/>
          <w:highlight w:val="none"/>
        </w:rPr>
        <w:t>、验收标准及办法</w:t>
      </w:r>
    </w:p>
    <w:p w14:paraId="3904A9CB">
      <w:pPr>
        <w:pStyle w:val="21"/>
        <w:adjustRightInd w:val="0"/>
        <w:snapToGrid w:val="0"/>
        <w:spacing w:line="360" w:lineRule="auto"/>
        <w:ind w:firstLine="480"/>
        <w:jc w:val="left"/>
        <w:rPr>
          <w:rFonts w:ascii="宋体" w:hAnsi="宋体"/>
          <w:color w:val="auto"/>
          <w:kern w:val="2"/>
          <w:sz w:val="24"/>
          <w:szCs w:val="24"/>
          <w:highlight w:val="none"/>
        </w:rPr>
      </w:pPr>
      <w:r>
        <w:rPr>
          <w:rFonts w:ascii="宋体" w:hAnsi="宋体"/>
          <w:color w:val="auto"/>
          <w:kern w:val="2"/>
          <w:sz w:val="24"/>
          <w:szCs w:val="24"/>
          <w:highlight w:val="none"/>
        </w:rPr>
        <w:t>7</w:t>
      </w:r>
      <w:r>
        <w:rPr>
          <w:rFonts w:hint="eastAsia" w:ascii="宋体" w:hAnsi="宋体"/>
          <w:color w:val="auto"/>
          <w:kern w:val="2"/>
          <w:sz w:val="24"/>
          <w:szCs w:val="24"/>
          <w:highlight w:val="none"/>
        </w:rPr>
        <w:t>.1初步验收：货物运抵买方指定地点后由买方或最终用户对照《定货单》对货物的外观、包装及数量进行验收。卖方应按买方要求填写《签收单》等单据。</w:t>
      </w:r>
    </w:p>
    <w:p w14:paraId="53A7FF66">
      <w:pPr>
        <w:pStyle w:val="21"/>
        <w:adjustRightInd w:val="0"/>
        <w:snapToGrid w:val="0"/>
        <w:spacing w:line="360" w:lineRule="auto"/>
        <w:ind w:firstLine="480"/>
        <w:jc w:val="left"/>
        <w:rPr>
          <w:rFonts w:ascii="宋体" w:hAnsi="宋体"/>
          <w:color w:val="auto"/>
          <w:kern w:val="2"/>
          <w:sz w:val="24"/>
          <w:szCs w:val="24"/>
          <w:highlight w:val="none"/>
        </w:rPr>
      </w:pPr>
      <w:r>
        <w:rPr>
          <w:rFonts w:ascii="宋体" w:hAnsi="宋体"/>
          <w:color w:val="auto"/>
          <w:kern w:val="2"/>
          <w:sz w:val="24"/>
          <w:szCs w:val="24"/>
          <w:highlight w:val="none"/>
        </w:rPr>
        <w:t>7</w:t>
      </w:r>
      <w:r>
        <w:rPr>
          <w:rFonts w:hint="eastAsia" w:ascii="宋体" w:hAnsi="宋体"/>
          <w:color w:val="auto"/>
          <w:kern w:val="2"/>
          <w:sz w:val="24"/>
          <w:szCs w:val="24"/>
          <w:highlight w:val="none"/>
        </w:rPr>
        <w:t>.2最终验收：卖方根据合同要求进行设备安装、调试后，应按买方要求填写《验收报告》等单据并经最终用户签署确认后，三个工作日内报送给买方。</w:t>
      </w:r>
    </w:p>
    <w:p w14:paraId="44BE4118">
      <w:pPr>
        <w:pStyle w:val="21"/>
        <w:adjustRightInd w:val="0"/>
        <w:snapToGrid w:val="0"/>
        <w:spacing w:line="360" w:lineRule="auto"/>
        <w:ind w:firstLine="480"/>
        <w:jc w:val="left"/>
        <w:rPr>
          <w:rFonts w:ascii="宋体" w:hAnsi="宋体"/>
          <w:color w:val="auto"/>
          <w:kern w:val="2"/>
          <w:sz w:val="24"/>
          <w:szCs w:val="24"/>
          <w:highlight w:val="none"/>
        </w:rPr>
      </w:pPr>
      <w:r>
        <w:rPr>
          <w:rFonts w:ascii="宋体" w:hAnsi="宋体"/>
          <w:color w:val="auto"/>
          <w:kern w:val="2"/>
          <w:sz w:val="24"/>
          <w:szCs w:val="24"/>
          <w:highlight w:val="none"/>
        </w:rPr>
        <w:t>7</w:t>
      </w:r>
      <w:r>
        <w:rPr>
          <w:rFonts w:hint="eastAsia" w:ascii="宋体" w:hAnsi="宋体"/>
          <w:color w:val="auto"/>
          <w:kern w:val="2"/>
          <w:sz w:val="24"/>
          <w:szCs w:val="24"/>
          <w:highlight w:val="none"/>
        </w:rPr>
        <w:t>.3验收时（包括初验和最终验收），卖方必须派代表参加并确认验收结果。</w:t>
      </w:r>
    </w:p>
    <w:p w14:paraId="06458644">
      <w:pPr>
        <w:pStyle w:val="21"/>
        <w:adjustRightInd w:val="0"/>
        <w:snapToGrid w:val="0"/>
        <w:spacing w:line="360" w:lineRule="auto"/>
        <w:ind w:firstLine="480"/>
        <w:jc w:val="left"/>
        <w:rPr>
          <w:rFonts w:ascii="宋体" w:hAnsi="宋体"/>
          <w:color w:val="auto"/>
          <w:kern w:val="2"/>
          <w:sz w:val="24"/>
          <w:szCs w:val="24"/>
          <w:highlight w:val="none"/>
        </w:rPr>
      </w:pPr>
      <w:r>
        <w:rPr>
          <w:rFonts w:ascii="宋体" w:hAnsi="宋体"/>
          <w:color w:val="auto"/>
          <w:kern w:val="2"/>
          <w:sz w:val="24"/>
          <w:szCs w:val="24"/>
          <w:highlight w:val="none"/>
        </w:rPr>
        <w:t>7</w:t>
      </w:r>
      <w:r>
        <w:rPr>
          <w:rFonts w:hint="eastAsia" w:ascii="宋体" w:hAnsi="宋体"/>
          <w:color w:val="auto"/>
          <w:kern w:val="2"/>
          <w:sz w:val="24"/>
          <w:szCs w:val="24"/>
          <w:highlight w:val="none"/>
        </w:rPr>
        <w:t>.4移交使用：最终验收合格后，卖方应在最终用户要求的时间内将合同设备移交最终用户使用。合同货物毁损、灭失的风险自移交使用之日起转移。</w:t>
      </w:r>
    </w:p>
    <w:p w14:paraId="528560AC">
      <w:pPr>
        <w:pStyle w:val="21"/>
        <w:adjustRightInd w:val="0"/>
        <w:snapToGrid w:val="0"/>
        <w:spacing w:line="360" w:lineRule="auto"/>
        <w:ind w:firstLine="480"/>
        <w:jc w:val="left"/>
        <w:rPr>
          <w:rFonts w:ascii="宋体" w:hAnsi="宋体"/>
          <w:color w:val="auto"/>
          <w:kern w:val="2"/>
          <w:sz w:val="24"/>
          <w:szCs w:val="24"/>
          <w:highlight w:val="none"/>
        </w:rPr>
      </w:pPr>
      <w:r>
        <w:rPr>
          <w:rFonts w:ascii="宋体" w:hAnsi="宋体"/>
          <w:color w:val="auto"/>
          <w:kern w:val="2"/>
          <w:sz w:val="24"/>
          <w:szCs w:val="24"/>
          <w:highlight w:val="none"/>
        </w:rPr>
        <w:t>7</w:t>
      </w:r>
      <w:r>
        <w:rPr>
          <w:rFonts w:hint="eastAsia" w:ascii="宋体" w:hAnsi="宋体"/>
          <w:color w:val="auto"/>
          <w:kern w:val="2"/>
          <w:sz w:val="24"/>
          <w:szCs w:val="24"/>
          <w:highlight w:val="none"/>
        </w:rPr>
        <w:t>.5买方有权自行委托我国相关具有检验资质的部门、单位、机构针对卖方产品的精度、性能进行检验。其检验结果将作为验收标准的组成部分之一。</w:t>
      </w:r>
    </w:p>
    <w:p w14:paraId="48DB734B">
      <w:pPr>
        <w:adjustRightInd w:val="0"/>
        <w:snapToGrid w:val="0"/>
        <w:spacing w:line="360" w:lineRule="auto"/>
        <w:rPr>
          <w:rFonts w:ascii="宋体" w:hAnsi="宋体"/>
          <w:b/>
          <w:bCs/>
          <w:color w:val="auto"/>
          <w:sz w:val="24"/>
          <w:szCs w:val="24"/>
          <w:highlight w:val="none"/>
        </w:rPr>
      </w:pPr>
      <w:r>
        <w:rPr>
          <w:rFonts w:ascii="宋体" w:hAnsi="宋体"/>
          <w:b/>
          <w:bCs/>
          <w:color w:val="auto"/>
          <w:sz w:val="24"/>
          <w:szCs w:val="24"/>
          <w:highlight w:val="none"/>
        </w:rPr>
        <w:t>8</w:t>
      </w:r>
      <w:r>
        <w:rPr>
          <w:rFonts w:hint="eastAsia" w:ascii="宋体" w:hAnsi="宋体"/>
          <w:b/>
          <w:bCs/>
          <w:color w:val="auto"/>
          <w:sz w:val="24"/>
          <w:szCs w:val="24"/>
          <w:highlight w:val="none"/>
        </w:rPr>
        <w:t>、售后服务</w:t>
      </w:r>
    </w:p>
    <w:p w14:paraId="61F1FC3B">
      <w:pPr>
        <w:pStyle w:val="22"/>
        <w:spacing w:line="360" w:lineRule="auto"/>
        <w:ind w:right="-99" w:rightChars="-47" w:firstLine="480"/>
        <w:rPr>
          <w:rFonts w:ascii="宋体" w:hAnsi="宋体" w:cs="宋体"/>
          <w:color w:val="auto"/>
          <w:sz w:val="24"/>
          <w:highlight w:val="none"/>
        </w:rPr>
      </w:pPr>
      <w:r>
        <w:rPr>
          <w:rFonts w:ascii="宋体" w:hAnsi="宋体"/>
          <w:color w:val="auto"/>
          <w:sz w:val="24"/>
          <w:highlight w:val="none"/>
        </w:rPr>
        <w:t>8</w:t>
      </w:r>
      <w:r>
        <w:rPr>
          <w:rFonts w:hint="eastAsia" w:ascii="宋体" w:hAnsi="宋体"/>
          <w:color w:val="auto"/>
          <w:sz w:val="24"/>
          <w:highlight w:val="none"/>
        </w:rPr>
        <w:t>.1</w:t>
      </w:r>
      <w:r>
        <w:rPr>
          <w:rFonts w:hint="eastAsia" w:ascii="宋体" w:hAnsi="宋体" w:cs="宋体"/>
          <w:color w:val="auto"/>
          <w:sz w:val="24"/>
          <w:highlight w:val="none"/>
        </w:rPr>
        <w:t>合同设备的保修期自最终验收合格之日起计算，整机应当提供一年免费保修服务，同时保证保修年限不低于合同货物中品牌型号的官网标准。</w:t>
      </w:r>
    </w:p>
    <w:p w14:paraId="0F9AEA8F">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2卖方应按《部分商品修理更换退货责任规定》规定执行售后服务，产品出现性能故障的，应严格按照《部分商品修理更换退货责任规定》处理。上述规定要求与本合同其他条款有不一致的，按对最终用户较有利的条款执行。</w:t>
      </w:r>
    </w:p>
    <w:p w14:paraId="7C2F6648">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.3卖方应自合同设备经最终验收合格之日起对合同设备在保修期内提供免费维护的服务，保修期外提供有偿的维护服务。</w:t>
      </w:r>
    </w:p>
    <w:p w14:paraId="6F89BB22">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.4卖方应开通厦门本地的售后服务专线电话，供所有合同设备服务专用。售后服务专线电话应</w:t>
      </w:r>
      <w:r>
        <w:rPr>
          <w:rFonts w:hint="eastAsia" w:ascii="宋体" w:hAnsi="宋体"/>
          <w:color w:val="auto"/>
          <w:sz w:val="24"/>
          <w:szCs w:val="24"/>
          <w:highlight w:val="none"/>
          <w:u w:val="single"/>
        </w:rPr>
        <w:t>7*24</w:t>
      </w:r>
      <w:r>
        <w:rPr>
          <w:rFonts w:hint="eastAsia" w:ascii="宋体" w:hAnsi="宋体"/>
          <w:color w:val="auto"/>
          <w:sz w:val="24"/>
          <w:szCs w:val="24"/>
          <w:highlight w:val="none"/>
        </w:rPr>
        <w:t>小时实时响应；卖方接到买方或最终用户的报修电话，应在</w:t>
      </w:r>
      <w:r>
        <w:rPr>
          <w:rFonts w:hint="eastAsia" w:ascii="宋体" w:hAnsi="宋体"/>
          <w:color w:val="auto"/>
          <w:sz w:val="24"/>
          <w:szCs w:val="24"/>
          <w:highlight w:val="none"/>
          <w:u w:val="single"/>
        </w:rPr>
        <w:t>15</w:t>
      </w:r>
      <w:r>
        <w:rPr>
          <w:rFonts w:hint="eastAsia" w:ascii="宋体" w:hAnsi="宋体"/>
          <w:color w:val="auto"/>
          <w:sz w:val="24"/>
          <w:szCs w:val="24"/>
          <w:highlight w:val="none"/>
        </w:rPr>
        <w:t>分钟内电话响应，</w:t>
      </w:r>
      <w:r>
        <w:rPr>
          <w:rFonts w:hint="eastAsia" w:ascii="宋体" w:hAnsi="宋体"/>
          <w:color w:val="auto"/>
          <w:sz w:val="24"/>
          <w:szCs w:val="24"/>
          <w:highlight w:val="none"/>
          <w:u w:val="single"/>
        </w:rPr>
        <w:t>1</w:t>
      </w:r>
      <w:r>
        <w:rPr>
          <w:rFonts w:hint="eastAsia" w:ascii="宋体" w:hAnsi="宋体"/>
          <w:color w:val="auto"/>
          <w:sz w:val="24"/>
          <w:szCs w:val="24"/>
          <w:highlight w:val="none"/>
        </w:rPr>
        <w:t>个工作小时内到达，到达后</w:t>
      </w:r>
      <w:r>
        <w:rPr>
          <w:rFonts w:hint="eastAsia" w:ascii="宋体" w:hAnsi="宋体"/>
          <w:color w:val="auto"/>
          <w:sz w:val="24"/>
          <w:szCs w:val="24"/>
          <w:highlight w:val="none"/>
          <w:u w:val="single"/>
        </w:rPr>
        <w:t>8</w:t>
      </w:r>
      <w:r>
        <w:rPr>
          <w:rFonts w:hint="eastAsia" w:ascii="宋体" w:hAnsi="宋体"/>
          <w:color w:val="auto"/>
          <w:sz w:val="24"/>
          <w:szCs w:val="24"/>
          <w:highlight w:val="none"/>
        </w:rPr>
        <w:t>个工作小时内修复；若在</w:t>
      </w:r>
      <w:r>
        <w:rPr>
          <w:rFonts w:hint="eastAsia" w:ascii="宋体" w:hAnsi="宋体"/>
          <w:color w:val="auto"/>
          <w:sz w:val="24"/>
          <w:szCs w:val="24"/>
          <w:highlight w:val="none"/>
          <w:u w:val="single"/>
        </w:rPr>
        <w:t>8</w:t>
      </w:r>
      <w:r>
        <w:rPr>
          <w:rFonts w:hint="eastAsia" w:ascii="宋体" w:hAnsi="宋体"/>
          <w:color w:val="auto"/>
          <w:sz w:val="24"/>
          <w:szCs w:val="24"/>
          <w:highlight w:val="none"/>
        </w:rPr>
        <w:t>个工作小时内无法修复的，卖方应先提供备用机供最终用户使用，直至设备修复；如卖方所提供的备用机与故障机的型号不同，则需免费提供耗材。如果卖方未在承诺的时间内将设备修复或者提供备用机的，则卖方应按200.00元/台/天向买方支付逾期违约金,但是违约金上限不超过合同设备总金额的1%。(注：上门服务时间主要根据最终用户需求而定，假如最终用户需要第二天上门处理的，应根据最终用户要求的时间上门；如果最终用户需要节假日或晚上19：30后上门，卖方也应根据最终用户的要求上门服务。如无特殊情况，须按照上述标准来服务。)</w:t>
      </w:r>
    </w:p>
    <w:p w14:paraId="1B79E4C0">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.5超出保修期的维修，卖方应向最终用户说明产品已过保，告知最终用户备件费、上门费及服务费，并向最终用户说明备件保修时间及保修方式，征得最终用户同意后再维修, 维修中收取的备件费、上门费及服务费等其它费用不得高于合同产品品牌官方标准（包含品牌官网标准、官方热线标准等），维修收费应根据买方或最终用户的要求提供发票。</w:t>
      </w:r>
    </w:p>
    <w:p w14:paraId="676B29BE">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.6 合同设备通过最终验收并交付后15天内出现故障，卖方应免费为最终用户更换同型号新整机；保修期内，发生产品性能故障维修2次及以上仍不能正常使用的，卖方应负责为最终用户免费更换同型号的新机。若合同设备的型号机器停产，卖方应与最终用户协商，更换其他型号的新机，更换的新机型性能不得低于故障机。换机后的新机，保修期限从换机之日起开始重新计算。因产品故障造成退、换机情况的，由卖方直接与最终用户办理退换机流程，并在5个工作日内送达最终用户处更换，不再经过买方仓库，卖方应将退换机涉及的相关单据、凭证等材料在退还后【5】日内交付给买方。</w:t>
      </w:r>
    </w:p>
    <w:p w14:paraId="7370285D">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.7卖方应为合同设备提供免费的上门安装调试服务，安装后产品故障保修由厦门当地维修站提供。</w:t>
      </w:r>
    </w:p>
    <w:p w14:paraId="0FAB4909">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.8在设备的质保期内买方在合同设备的使用过程中，如发现并经双方确认证实产品存在质量隐患或者有严重的质量问题，买方有权要求卖方退换受影响的产品，由此产生的运输费等直接费用由卖方承担。</w:t>
      </w:r>
    </w:p>
    <w:p w14:paraId="729D6151">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.9卖方应按最终用户的要求，每季度、每半年或每年一次，对合同设备进行保养服务，并将上门服务结果及时反馈给买方。</w:t>
      </w:r>
    </w:p>
    <w:p w14:paraId="2540332B">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10卖方在上门服务时，如果最终用户其它品牌设备出现故障需要卖方的工程师帮助解决，卖方的工程师不得拒绝最终用户的要求，在条件许可的前提下为最终用户服务；如果无法修复，应协助最终用户报修相应的技术售后服务网点或给出可行的解决方案供最终用户参考。</w:t>
      </w:r>
    </w:p>
    <w:p w14:paraId="3E58554A">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.11卖方在</w:t>
      </w:r>
      <w:r>
        <w:rPr>
          <w:rFonts w:hint="eastAsia" w:ascii="宋体" w:hAnsi="宋体"/>
          <w:color w:val="auto"/>
          <w:sz w:val="24"/>
          <w:szCs w:val="24"/>
          <w:highlight w:val="none"/>
          <w:u w:val="single"/>
        </w:rPr>
        <w:t>厦门</w:t>
      </w:r>
      <w:r>
        <w:rPr>
          <w:rFonts w:hint="eastAsia" w:ascii="宋体" w:hAnsi="宋体"/>
          <w:color w:val="auto"/>
          <w:sz w:val="24"/>
          <w:szCs w:val="24"/>
          <w:highlight w:val="none"/>
        </w:rPr>
        <w:t>地区拥有充足的备品备件，可以保证合同设备在正常损坏情况下，及时给最终用户提供保修或更换；超出保修期的合同设备，卖方应保证在二年内能及时提供产品维修所需的备件。</w:t>
      </w:r>
    </w:p>
    <w:p w14:paraId="39F74BA3">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.12卖方应为合同设备建立完整的客户档案，保修期内，当合同设备发生维修，而最终用户无法提供发票或保修卡时，卖方应根据自身留存的档案，为最终用户提供应有的保修服务。</w:t>
      </w:r>
    </w:p>
    <w:p w14:paraId="666BE48E">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13卖方应对合同设备进行100%的电话回访，每月初向买方提供上月的回访汇总报表及服务明细；当卖方在接到最终用户投诉时，要在1个工作小时之内应响，2个工作小时内开始处理，2个工作日之内处理完；处理完最终用户的投诉，应及时将处理结果反馈给买方。</w:t>
      </w:r>
    </w:p>
    <w:p w14:paraId="17C7BC2A">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.14卖方应根据最终用户的需求开办合同设备的免费培训课程。</w:t>
      </w:r>
    </w:p>
    <w:p w14:paraId="32E6D279">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r>
        <w:rPr>
          <w:rFonts w:hint="eastAsia" w:ascii="宋体" w:hAnsi="宋体"/>
          <w:color w:val="auto"/>
          <w:sz w:val="24"/>
          <w:szCs w:val="24"/>
          <w:highlight w:val="none"/>
        </w:rPr>
        <w:t>.15卖方不得以任何方式对买方隐瞒和欺骗服务情况，买方需要卖方提供的报表不得有虚假，上门服务工程师不得以任何方式引导最终用户对买方回访的回答。</w:t>
      </w:r>
    </w:p>
    <w:p w14:paraId="12BBBFF6">
      <w:pPr>
        <w:adjustRightInd w:val="0"/>
        <w:snapToGrid w:val="0"/>
        <w:spacing w:line="360" w:lineRule="auto"/>
        <w:rPr>
          <w:rFonts w:ascii="宋体" w:hAnsi="宋体"/>
          <w:b/>
          <w:bCs/>
          <w:color w:val="auto"/>
          <w:sz w:val="24"/>
          <w:szCs w:val="24"/>
          <w:highlight w:val="none"/>
        </w:rPr>
      </w:pPr>
      <w:r>
        <w:rPr>
          <w:rFonts w:ascii="宋体" w:hAnsi="宋体"/>
          <w:color w:val="auto"/>
          <w:sz w:val="24"/>
          <w:szCs w:val="24"/>
          <w:highlight w:val="none"/>
        </w:rPr>
        <w:t>9</w:t>
      </w:r>
      <w:r>
        <w:rPr>
          <w:rFonts w:hint="eastAsia" w:ascii="宋体" w:hAnsi="宋体"/>
          <w:b/>
          <w:bCs/>
          <w:color w:val="auto"/>
          <w:sz w:val="24"/>
          <w:szCs w:val="24"/>
          <w:highlight w:val="none"/>
        </w:rPr>
        <w:t>、知识产权</w:t>
      </w:r>
    </w:p>
    <w:p w14:paraId="1E552BD6">
      <w:pPr>
        <w:adjustRightInd w:val="0"/>
        <w:snapToGrid w:val="0"/>
        <w:spacing w:line="360" w:lineRule="auto"/>
        <w:ind w:firstLine="480"/>
        <w:rPr>
          <w:rFonts w:ascii="宋体" w:hAnsi="宋体"/>
          <w:color w:val="auto"/>
          <w:sz w:val="24"/>
          <w:szCs w:val="24"/>
          <w:highlight w:val="none"/>
        </w:rPr>
      </w:pPr>
      <w:r>
        <w:rPr>
          <w:rFonts w:hint="eastAsia" w:ascii="宋体" w:hAnsi="宋体"/>
          <w:color w:val="auto"/>
          <w:sz w:val="24"/>
          <w:szCs w:val="24"/>
          <w:highlight w:val="none"/>
        </w:rPr>
        <w:t>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14:paraId="3A89F302">
      <w:pPr>
        <w:adjustRightInd w:val="0"/>
        <w:snapToGrid w:val="0"/>
        <w:spacing w:line="360" w:lineRule="auto"/>
        <w:ind w:firstLine="480"/>
        <w:rPr>
          <w:rFonts w:ascii="宋体" w:hAnsi="宋体"/>
          <w:color w:val="auto"/>
          <w:sz w:val="24"/>
          <w:szCs w:val="24"/>
          <w:highlight w:val="none"/>
        </w:rPr>
      </w:pPr>
      <w:r>
        <w:rPr>
          <w:rFonts w:hint="eastAsia" w:ascii="宋体" w:hAnsi="宋体"/>
          <w:color w:val="auto"/>
          <w:sz w:val="24"/>
          <w:szCs w:val="24"/>
          <w:highlight w:val="none"/>
        </w:rPr>
        <w:t>同时，买方有权自费参与针对该等侵权索赔的应诉抗辩或和解，买方因此支出的费用和损失均由卖方承担，且买方有权在本合同的卖方保证金和买方应付货款中扣除前述费用。</w:t>
      </w:r>
    </w:p>
    <w:p w14:paraId="21B969AF">
      <w:pPr>
        <w:adjustRightInd w:val="0"/>
        <w:snapToGrid w:val="0"/>
        <w:spacing w:line="360" w:lineRule="auto"/>
        <w:rPr>
          <w:rFonts w:ascii="宋体" w:hAnsi="宋体"/>
          <w:b/>
          <w:bCs/>
          <w:color w:val="auto"/>
          <w:sz w:val="24"/>
          <w:szCs w:val="24"/>
          <w:highlight w:val="none"/>
        </w:rPr>
      </w:pPr>
      <w:r>
        <w:rPr>
          <w:rFonts w:ascii="宋体" w:hAnsi="宋体"/>
          <w:b/>
          <w:bCs/>
          <w:color w:val="auto"/>
          <w:sz w:val="24"/>
          <w:szCs w:val="24"/>
          <w:highlight w:val="none"/>
        </w:rPr>
        <w:t>10</w:t>
      </w:r>
      <w:r>
        <w:rPr>
          <w:rFonts w:hint="eastAsia" w:ascii="宋体" w:hAnsi="宋体"/>
          <w:b/>
          <w:bCs/>
          <w:color w:val="auto"/>
          <w:sz w:val="24"/>
          <w:szCs w:val="24"/>
          <w:highlight w:val="none"/>
        </w:rPr>
        <w:t>、违约责任</w:t>
      </w:r>
    </w:p>
    <w:p w14:paraId="1FD23042">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.1卖方若未能按时将保质足量产品送到买方仓库或最终用户指定地点的、或未能按时完成安装调试的，卖方应向买方每日支付当批货款0.5%的逾期违约金。单批次（单个</w:t>
      </w:r>
      <w:r>
        <w:rPr>
          <w:rFonts w:ascii="宋体" w:hAnsi="宋体" w:cs="宋体"/>
          <w:color w:val="auto"/>
          <w:sz w:val="24"/>
          <w:szCs w:val="24"/>
          <w:highlight w:val="none"/>
        </w:rPr>
        <w:t>《定货单》</w:t>
      </w:r>
      <w:r>
        <w:rPr>
          <w:rFonts w:hint="eastAsia" w:ascii="宋体" w:hAnsi="宋体"/>
          <w:color w:val="auto"/>
          <w:sz w:val="24"/>
          <w:szCs w:val="24"/>
          <w:highlight w:val="none"/>
        </w:rPr>
        <w:t>）供货中逾期超过</w:t>
      </w:r>
      <w:r>
        <w:rPr>
          <w:rFonts w:ascii="宋体" w:hAnsi="宋体"/>
          <w:color w:val="auto"/>
          <w:sz w:val="24"/>
          <w:szCs w:val="24"/>
          <w:highlight w:val="none"/>
        </w:rPr>
        <w:t>5</w:t>
      </w:r>
      <w:r>
        <w:rPr>
          <w:rFonts w:hint="eastAsia" w:ascii="宋体" w:hAnsi="宋体"/>
          <w:color w:val="auto"/>
          <w:sz w:val="24"/>
          <w:szCs w:val="24"/>
          <w:highlight w:val="none"/>
        </w:rPr>
        <w:t>个日历日交货或者安装不及时率（即：（逾期超过5日的货物数量+逾期安装的货物数量）/该批次货物总数量）超过</w:t>
      </w:r>
      <w:r>
        <w:rPr>
          <w:rFonts w:ascii="宋体" w:hAnsi="宋体"/>
          <w:color w:val="auto"/>
          <w:sz w:val="24"/>
          <w:szCs w:val="24"/>
          <w:highlight w:val="none"/>
        </w:rPr>
        <w:t>7%</w:t>
      </w:r>
      <w:r>
        <w:rPr>
          <w:rFonts w:hint="eastAsia" w:ascii="宋体" w:hAnsi="宋体"/>
          <w:color w:val="auto"/>
          <w:sz w:val="24"/>
          <w:szCs w:val="24"/>
          <w:highlight w:val="none"/>
        </w:rPr>
        <w:t>的，买方有权单方面解除合同并没收履约保证金，卖方除应退还买方已支付的该批次货款外，还应另行支付相当于4.1条约定的履约保证金总金额的违约金，且买方有权</w:t>
      </w:r>
      <w:r>
        <w:rPr>
          <w:rFonts w:ascii="宋体" w:hAnsi="宋体"/>
          <w:color w:val="auto"/>
          <w:sz w:val="24"/>
          <w:szCs w:val="24"/>
          <w:highlight w:val="none"/>
        </w:rPr>
        <w:t>在三年内拒绝</w:t>
      </w:r>
      <w:r>
        <w:rPr>
          <w:rFonts w:hint="eastAsia" w:ascii="宋体" w:hAnsi="宋体"/>
          <w:color w:val="auto"/>
          <w:sz w:val="24"/>
          <w:szCs w:val="24"/>
          <w:highlight w:val="none"/>
        </w:rPr>
        <w:t>卖方</w:t>
      </w:r>
      <w:r>
        <w:rPr>
          <w:rFonts w:ascii="宋体" w:hAnsi="宋体"/>
          <w:color w:val="auto"/>
          <w:sz w:val="24"/>
          <w:szCs w:val="24"/>
          <w:highlight w:val="none"/>
        </w:rPr>
        <w:t>参与大宗政府招标采购项目</w:t>
      </w:r>
      <w:r>
        <w:rPr>
          <w:rFonts w:hint="eastAsia" w:ascii="宋体" w:hAnsi="宋体"/>
          <w:color w:val="auto"/>
          <w:sz w:val="24"/>
          <w:szCs w:val="24"/>
          <w:highlight w:val="none"/>
        </w:rPr>
        <w:t>的投标报价。</w:t>
      </w:r>
    </w:p>
    <w:p w14:paraId="13768470">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.2任一批次的产品若验收不合格（包括初验和最终验收），买方有权换货或单方解除合同。若买方选择换货的，卖方重新供货导致的供货延迟，按</w:t>
      </w:r>
      <w:r>
        <w:rPr>
          <w:rFonts w:ascii="宋体" w:hAnsi="宋体"/>
          <w:color w:val="auto"/>
          <w:sz w:val="24"/>
          <w:szCs w:val="24"/>
          <w:highlight w:val="none"/>
        </w:rPr>
        <w:t>10</w:t>
      </w:r>
      <w:r>
        <w:rPr>
          <w:rFonts w:hint="eastAsia" w:ascii="宋体" w:hAnsi="宋体"/>
          <w:color w:val="auto"/>
          <w:sz w:val="24"/>
          <w:szCs w:val="24"/>
          <w:highlight w:val="none"/>
        </w:rPr>
        <w:t>.1条违约责任处理；若买方选择单方解除合同的，买方有权没收履约保证金，卖方除应退还买方已支付该批次货款外，还应另行支付相当于4.1条约定的履约保证金总金额的违约金，且买方有权</w:t>
      </w:r>
      <w:r>
        <w:rPr>
          <w:rFonts w:ascii="宋体" w:hAnsi="宋体"/>
          <w:color w:val="auto"/>
          <w:sz w:val="24"/>
          <w:szCs w:val="24"/>
          <w:highlight w:val="none"/>
        </w:rPr>
        <w:t>在三年内拒绝</w:t>
      </w:r>
      <w:r>
        <w:rPr>
          <w:rFonts w:hint="eastAsia" w:ascii="宋体" w:hAnsi="宋体"/>
          <w:color w:val="auto"/>
          <w:sz w:val="24"/>
          <w:szCs w:val="24"/>
          <w:highlight w:val="none"/>
        </w:rPr>
        <w:t>卖方</w:t>
      </w:r>
      <w:r>
        <w:rPr>
          <w:rFonts w:ascii="宋体" w:hAnsi="宋体"/>
          <w:color w:val="auto"/>
          <w:sz w:val="24"/>
          <w:szCs w:val="24"/>
          <w:highlight w:val="none"/>
        </w:rPr>
        <w:t>参与大宗政府招标采购项目</w:t>
      </w:r>
      <w:r>
        <w:rPr>
          <w:rFonts w:hint="eastAsia" w:ascii="宋体" w:hAnsi="宋体"/>
          <w:color w:val="auto"/>
          <w:sz w:val="24"/>
          <w:szCs w:val="24"/>
          <w:highlight w:val="none"/>
        </w:rPr>
        <w:t>的投标报价。</w:t>
      </w:r>
    </w:p>
    <w:p w14:paraId="2985EC1D">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3卖方保证所供成交产品质量与投标时的承诺一致，若有拆装、以次充好、偷换等行为,一经发现，买方将拒绝卖方作为厦门市政府采购供应商，拒绝其三年内参加相同项目的投标报价并有权单方解除合同并没收履约保证金，卖方除应退还买方已支付该批次货款外，还应另行支付相当于4.1条约定的履约保证金总金额的违约金。</w:t>
      </w:r>
    </w:p>
    <w:p w14:paraId="35D0EE59">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4买方根据本合同约定提出换货、退货或解除合同的，卖方应在收到买方或最终用户通知后3个工作日内自行收回不符合合同约定的货物，并承担相应费用。因卖方原因导致退换货的，卖方应承担退换货所需的一切费用。如卖方未在规定时间内收回不合格货物，买方不对上述货物的灭失或损坏承担任何责任。如卖方逾期超过10个日历日仍未收回的，买方有权自行处理上述货物，同时卖方应支付相当于4.1条约定的履约保证金总金额的违约金，且买方有权</w:t>
      </w:r>
      <w:r>
        <w:rPr>
          <w:rFonts w:ascii="宋体" w:hAnsi="宋体"/>
          <w:color w:val="auto"/>
          <w:sz w:val="24"/>
          <w:szCs w:val="24"/>
          <w:highlight w:val="none"/>
        </w:rPr>
        <w:t>在三年内拒绝卖方参与大宗政府招标采购项目</w:t>
      </w:r>
      <w:r>
        <w:rPr>
          <w:rFonts w:hint="eastAsia" w:ascii="宋体" w:hAnsi="宋体"/>
          <w:color w:val="auto"/>
          <w:sz w:val="24"/>
          <w:szCs w:val="24"/>
          <w:highlight w:val="none"/>
        </w:rPr>
        <w:t>的投标报价。</w:t>
      </w:r>
    </w:p>
    <w:p w14:paraId="7B58B220">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5买方应按商定的付款周期及时支付卖方货款。若故意拖延支付货款，买方向卖方每日支付延迟付款部分0.1%的违约金，支付金额最高不超过受影响货物总额的5%。若协商不成，可根据规定向厦门市财政局政府采购监管处投诉并要求解决。</w:t>
      </w:r>
    </w:p>
    <w:p w14:paraId="4858714F">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.6除本合同另有约定（</w:t>
      </w:r>
      <w:r>
        <w:rPr>
          <w:rFonts w:ascii="宋体" w:hAnsi="宋体"/>
          <w:color w:val="auto"/>
          <w:sz w:val="24"/>
          <w:szCs w:val="24"/>
          <w:highlight w:val="none"/>
        </w:rPr>
        <w:t>10</w:t>
      </w:r>
      <w:r>
        <w:rPr>
          <w:rFonts w:hint="eastAsia" w:ascii="宋体" w:hAnsi="宋体"/>
          <w:color w:val="auto"/>
          <w:sz w:val="24"/>
          <w:szCs w:val="24"/>
          <w:highlight w:val="none"/>
        </w:rPr>
        <w:t>.1、</w:t>
      </w:r>
      <w:r>
        <w:rPr>
          <w:rFonts w:ascii="宋体" w:hAnsi="宋体"/>
          <w:color w:val="auto"/>
          <w:sz w:val="24"/>
          <w:szCs w:val="24"/>
          <w:highlight w:val="none"/>
        </w:rPr>
        <w:t>10</w:t>
      </w:r>
      <w:r>
        <w:rPr>
          <w:rFonts w:hint="eastAsia" w:ascii="宋体" w:hAnsi="宋体"/>
          <w:color w:val="auto"/>
          <w:sz w:val="24"/>
          <w:szCs w:val="24"/>
          <w:highlight w:val="none"/>
        </w:rPr>
        <w:t>.2、</w:t>
      </w:r>
      <w:r>
        <w:rPr>
          <w:rFonts w:ascii="宋体" w:hAnsi="宋体"/>
          <w:color w:val="auto"/>
          <w:sz w:val="24"/>
          <w:szCs w:val="24"/>
          <w:highlight w:val="none"/>
        </w:rPr>
        <w:t>10</w:t>
      </w:r>
      <w:r>
        <w:rPr>
          <w:rFonts w:hint="eastAsia" w:ascii="宋体" w:hAnsi="宋体"/>
          <w:color w:val="auto"/>
          <w:sz w:val="24"/>
          <w:szCs w:val="24"/>
          <w:highlight w:val="none"/>
        </w:rPr>
        <w:t>.3、</w:t>
      </w:r>
      <w:r>
        <w:rPr>
          <w:rFonts w:ascii="宋体" w:hAnsi="宋体"/>
          <w:color w:val="auto"/>
          <w:sz w:val="24"/>
          <w:szCs w:val="24"/>
          <w:highlight w:val="none"/>
        </w:rPr>
        <w:t>10</w:t>
      </w:r>
      <w:r>
        <w:rPr>
          <w:rFonts w:hint="eastAsia" w:ascii="宋体" w:hAnsi="宋体"/>
          <w:color w:val="auto"/>
          <w:sz w:val="24"/>
          <w:szCs w:val="24"/>
          <w:highlight w:val="none"/>
        </w:rPr>
        <w:t>.4、</w:t>
      </w:r>
      <w:r>
        <w:rPr>
          <w:rFonts w:ascii="宋体" w:hAnsi="宋体"/>
          <w:color w:val="auto"/>
          <w:sz w:val="24"/>
          <w:szCs w:val="24"/>
          <w:highlight w:val="none"/>
        </w:rPr>
        <w:t>10</w:t>
      </w:r>
      <w:r>
        <w:rPr>
          <w:rFonts w:hint="eastAsia" w:ascii="宋体" w:hAnsi="宋体"/>
          <w:color w:val="auto"/>
          <w:sz w:val="24"/>
          <w:szCs w:val="24"/>
          <w:highlight w:val="none"/>
        </w:rPr>
        <w:t>.8），在买方发出的违约通知后30天内卖方仍未纠正其任何一种违约行为的，买方有权单方解除合同</w:t>
      </w:r>
      <w:r>
        <w:rPr>
          <w:rFonts w:ascii="宋体" w:hAnsi="宋体"/>
          <w:color w:val="auto"/>
          <w:sz w:val="24"/>
          <w:szCs w:val="24"/>
          <w:highlight w:val="none"/>
        </w:rPr>
        <w:t>并</w:t>
      </w:r>
      <w:r>
        <w:rPr>
          <w:rFonts w:hint="eastAsia" w:ascii="宋体" w:hAnsi="宋体"/>
          <w:color w:val="auto"/>
          <w:sz w:val="24"/>
          <w:szCs w:val="24"/>
          <w:highlight w:val="none"/>
        </w:rPr>
        <w:t>没收</w:t>
      </w:r>
      <w:r>
        <w:rPr>
          <w:rFonts w:ascii="宋体" w:hAnsi="宋体"/>
          <w:color w:val="auto"/>
          <w:sz w:val="24"/>
          <w:szCs w:val="24"/>
          <w:highlight w:val="none"/>
        </w:rPr>
        <w:t>卖方</w:t>
      </w:r>
      <w:r>
        <w:rPr>
          <w:rFonts w:hint="eastAsia" w:ascii="宋体" w:hAnsi="宋体"/>
          <w:color w:val="auto"/>
          <w:sz w:val="24"/>
          <w:szCs w:val="24"/>
          <w:highlight w:val="none"/>
        </w:rPr>
        <w:t>全部</w:t>
      </w:r>
      <w:r>
        <w:rPr>
          <w:rFonts w:ascii="宋体" w:hAnsi="宋体"/>
          <w:color w:val="auto"/>
          <w:sz w:val="24"/>
          <w:szCs w:val="24"/>
          <w:highlight w:val="none"/>
        </w:rPr>
        <w:t>履约保证金</w:t>
      </w:r>
      <w:r>
        <w:rPr>
          <w:rFonts w:hint="eastAsia" w:ascii="宋体" w:hAnsi="宋体"/>
          <w:color w:val="auto"/>
          <w:sz w:val="24"/>
          <w:szCs w:val="24"/>
          <w:highlight w:val="none"/>
        </w:rPr>
        <w:t>。</w:t>
      </w:r>
    </w:p>
    <w:p w14:paraId="3AB8D692">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7买方有权扣划卖方缴交的履约保证金作为违约金，履约保证金不足以抵扣违约金的，买方有权从应付货款中扣除相应费用。买方应在扣划履约保证金前书面通知卖方违约事由，如卖方在书面通知所列明的合理期限（不超过</w:t>
      </w:r>
      <w:r>
        <w:rPr>
          <w:rFonts w:ascii="宋体" w:hAnsi="宋体"/>
          <w:color w:val="auto"/>
          <w:sz w:val="24"/>
          <w:szCs w:val="24"/>
          <w:highlight w:val="none"/>
        </w:rPr>
        <w:t>10</w:t>
      </w:r>
      <w:r>
        <w:rPr>
          <w:rFonts w:hint="eastAsia" w:ascii="宋体" w:hAnsi="宋体"/>
          <w:color w:val="auto"/>
          <w:sz w:val="24"/>
          <w:szCs w:val="24"/>
          <w:highlight w:val="none"/>
        </w:rPr>
        <w:t>天）内未予纠正，则履约保证金扣划才可实施（因卖方违约买方单方解除合同而没收履约保证金的不受此限制）。</w:t>
      </w:r>
    </w:p>
    <w:p w14:paraId="5B4ABA82">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10.8</w:t>
      </w:r>
      <w:r>
        <w:rPr>
          <w:rFonts w:hint="eastAsia" w:ascii="宋体" w:hAnsi="宋体"/>
          <w:color w:val="auto"/>
          <w:sz w:val="24"/>
          <w:szCs w:val="24"/>
          <w:highlight w:val="none"/>
        </w:rPr>
        <w:t>卖方存在以下情形的，</w:t>
      </w:r>
      <w:r>
        <w:rPr>
          <w:rFonts w:ascii="宋体" w:hAnsi="宋体"/>
          <w:color w:val="auto"/>
          <w:sz w:val="24"/>
          <w:szCs w:val="24"/>
          <w:highlight w:val="none"/>
        </w:rPr>
        <w:t>买方有权</w:t>
      </w:r>
      <w:r>
        <w:rPr>
          <w:rFonts w:hint="eastAsia" w:ascii="宋体" w:hAnsi="宋体"/>
          <w:color w:val="auto"/>
          <w:sz w:val="24"/>
          <w:szCs w:val="24"/>
          <w:highlight w:val="none"/>
        </w:rPr>
        <w:t>立即单方通知卖方解除合同</w:t>
      </w:r>
      <w:r>
        <w:rPr>
          <w:rFonts w:ascii="宋体" w:hAnsi="宋体"/>
          <w:color w:val="auto"/>
          <w:sz w:val="24"/>
          <w:szCs w:val="24"/>
          <w:highlight w:val="none"/>
        </w:rPr>
        <w:t>并</w:t>
      </w:r>
      <w:r>
        <w:rPr>
          <w:rFonts w:hint="eastAsia" w:ascii="宋体" w:hAnsi="宋体"/>
          <w:color w:val="auto"/>
          <w:sz w:val="24"/>
          <w:szCs w:val="24"/>
          <w:highlight w:val="none"/>
        </w:rPr>
        <w:t>没收</w:t>
      </w:r>
      <w:r>
        <w:rPr>
          <w:rFonts w:ascii="宋体" w:hAnsi="宋体"/>
          <w:color w:val="auto"/>
          <w:sz w:val="24"/>
          <w:szCs w:val="24"/>
          <w:highlight w:val="none"/>
        </w:rPr>
        <w:t>卖方</w:t>
      </w:r>
      <w:r>
        <w:rPr>
          <w:rFonts w:hint="eastAsia" w:ascii="宋体" w:hAnsi="宋体"/>
          <w:color w:val="auto"/>
          <w:sz w:val="24"/>
          <w:szCs w:val="24"/>
          <w:highlight w:val="none"/>
        </w:rPr>
        <w:t>全部</w:t>
      </w:r>
      <w:r>
        <w:rPr>
          <w:rFonts w:ascii="宋体" w:hAnsi="宋体"/>
          <w:color w:val="auto"/>
          <w:sz w:val="24"/>
          <w:szCs w:val="24"/>
          <w:highlight w:val="none"/>
        </w:rPr>
        <w:t>履约保证金</w:t>
      </w:r>
      <w:r>
        <w:rPr>
          <w:rFonts w:hint="eastAsia" w:ascii="宋体" w:hAnsi="宋体"/>
          <w:color w:val="auto"/>
          <w:sz w:val="24"/>
          <w:szCs w:val="24"/>
          <w:highlight w:val="none"/>
        </w:rPr>
        <w:t>，</w:t>
      </w:r>
      <w:r>
        <w:rPr>
          <w:rFonts w:ascii="宋体" w:hAnsi="宋体"/>
          <w:color w:val="auto"/>
          <w:sz w:val="24"/>
          <w:szCs w:val="24"/>
          <w:highlight w:val="none"/>
        </w:rPr>
        <w:t>并在三年内拒绝卖方参与大宗政府招标采购项目</w:t>
      </w:r>
      <w:r>
        <w:rPr>
          <w:rFonts w:hint="eastAsia" w:ascii="宋体" w:hAnsi="宋体"/>
          <w:color w:val="auto"/>
          <w:sz w:val="24"/>
          <w:szCs w:val="24"/>
          <w:highlight w:val="none"/>
        </w:rPr>
        <w:t>的投标报价：</w:t>
      </w:r>
    </w:p>
    <w:p w14:paraId="371EBBDE">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①违反法律法规、行业规范要求被有关部门查处的；</w:t>
      </w:r>
    </w:p>
    <w:p w14:paraId="1194F5A9">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②提供假冒伪劣产品的；</w:t>
      </w:r>
    </w:p>
    <w:p w14:paraId="197F072F">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③通过给回扣或变相给回扣的方式招揽业务的；</w:t>
      </w:r>
    </w:p>
    <w:p w14:paraId="2BA786B5">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④因产品质量或服务问题被有效投诉达三次以上的；</w:t>
      </w:r>
    </w:p>
    <w:p w14:paraId="12937FE0">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⑤向有关部门、买方、最终使用方提供虚假信息或资料等情况的；</w:t>
      </w:r>
    </w:p>
    <w:p w14:paraId="17EB0D7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⑥出现重大客户投诉事件（如政府采购管理部门督办事件、新闻媒体公开报道、采购业主书面发函投诉以及其他对买方产生严重负面影响的事件）；</w:t>
      </w:r>
    </w:p>
    <w:p w14:paraId="40B8BEE6">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⑦报修率超过</w:t>
      </w:r>
      <w:r>
        <w:rPr>
          <w:rFonts w:ascii="宋体" w:hAnsi="宋体"/>
          <w:color w:val="auto"/>
          <w:sz w:val="24"/>
          <w:szCs w:val="24"/>
          <w:highlight w:val="none"/>
        </w:rPr>
        <w:t>3%（按品类分别统计）。报修率=保修期内硬件故障报修有效台次/已销售台数*100%（已销售台数超过</w:t>
      </w:r>
      <w:r>
        <w:rPr>
          <w:rFonts w:hint="eastAsia" w:ascii="宋体" w:hAnsi="宋体"/>
          <w:color w:val="auto"/>
          <w:sz w:val="24"/>
          <w:szCs w:val="24"/>
          <w:highlight w:val="none"/>
        </w:rPr>
        <w:t>50</w:t>
      </w:r>
      <w:r>
        <w:rPr>
          <w:rFonts w:ascii="宋体" w:hAnsi="宋体"/>
          <w:color w:val="auto"/>
          <w:sz w:val="24"/>
          <w:szCs w:val="24"/>
          <w:highlight w:val="none"/>
        </w:rPr>
        <w:t>台之后开始计算报修率）。</w:t>
      </w:r>
    </w:p>
    <w:p w14:paraId="560185BB">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⑧逾期供货时间超过</w:t>
      </w:r>
      <w:r>
        <w:rPr>
          <w:rFonts w:ascii="宋体" w:hAnsi="宋体"/>
          <w:color w:val="auto"/>
          <w:sz w:val="24"/>
          <w:szCs w:val="24"/>
          <w:highlight w:val="none"/>
        </w:rPr>
        <w:t>30天</w:t>
      </w:r>
      <w:r>
        <w:rPr>
          <w:rFonts w:hint="eastAsia" w:ascii="宋体" w:hAnsi="宋体"/>
          <w:color w:val="auto"/>
          <w:sz w:val="24"/>
          <w:szCs w:val="24"/>
          <w:highlight w:val="none"/>
        </w:rPr>
        <w:t>（包括产品送到买方仓库或最终用户指定地点的逾期和完成产品安装调试的逾期）</w:t>
      </w:r>
      <w:r>
        <w:rPr>
          <w:rFonts w:ascii="宋体" w:hAnsi="宋体"/>
          <w:color w:val="auto"/>
          <w:sz w:val="24"/>
          <w:szCs w:val="24"/>
          <w:highlight w:val="none"/>
        </w:rPr>
        <w:t>。</w:t>
      </w:r>
    </w:p>
    <w:p w14:paraId="18BAF359">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⑨产品入库检测、检验时发现大面积（同批次全部产品或不同批次同型号产品</w:t>
      </w:r>
      <w:r>
        <w:rPr>
          <w:rFonts w:hint="eastAsia" w:ascii="宋体" w:hAnsi="宋体"/>
          <w:color w:val="auto"/>
          <w:sz w:val="24"/>
          <w:szCs w:val="24"/>
          <w:highlight w:val="none"/>
          <w:u w:val="single"/>
        </w:rPr>
        <w:t>3</w:t>
      </w:r>
      <w:r>
        <w:rPr>
          <w:rFonts w:hint="eastAsia" w:ascii="宋体" w:hAnsi="宋体"/>
          <w:color w:val="auto"/>
          <w:sz w:val="24"/>
          <w:szCs w:val="24"/>
          <w:highlight w:val="none"/>
        </w:rPr>
        <w:t>%及以上）产品质量问题。</w:t>
      </w:r>
    </w:p>
    <w:p w14:paraId="6CD0DF15">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w:t>
      </w:r>
      <w:r>
        <w:rPr>
          <w:rFonts w:ascii="宋体" w:hAnsi="宋体"/>
          <w:color w:val="auto"/>
          <w:sz w:val="24"/>
          <w:szCs w:val="24"/>
          <w:highlight w:val="none"/>
        </w:rPr>
        <w:t>9</w:t>
      </w:r>
      <w:r>
        <w:rPr>
          <w:rFonts w:hint="eastAsia" w:ascii="宋体" w:hAnsi="宋体"/>
          <w:color w:val="auto"/>
          <w:sz w:val="24"/>
          <w:szCs w:val="24"/>
          <w:highlight w:val="none"/>
        </w:rPr>
        <w:t>卖方承诺配合参与买方举办的壹年两次的政府大宗产品推介会，并且免费提供相应的合同机型作为样机展示，否则视为违约，卖方应按对应合同机型的单价向买方支付违约金，若卖方未向买方支付，则买方有权直接从履约保证金款项中直接给予扣除。</w:t>
      </w:r>
    </w:p>
    <w:p w14:paraId="3DAB2BF2">
      <w:pPr>
        <w:adjustRightInd w:val="0"/>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w:t>
      </w:r>
      <w:r>
        <w:rPr>
          <w:rFonts w:ascii="宋体" w:hAnsi="宋体"/>
          <w:color w:val="auto"/>
          <w:sz w:val="24"/>
          <w:szCs w:val="24"/>
          <w:highlight w:val="none"/>
        </w:rPr>
        <w:t>10</w:t>
      </w:r>
      <w:r>
        <w:rPr>
          <w:rFonts w:hint="eastAsia" w:ascii="宋体" w:hAnsi="宋体"/>
          <w:color w:val="auto"/>
          <w:sz w:val="24"/>
          <w:szCs w:val="24"/>
          <w:highlight w:val="none"/>
        </w:rPr>
        <w:t>若有两家或以上的多家公司共同为本合同的卖方，买方有权向卖方中的任何一家或同时向多家就合同的履行提出索赔或要求其履行义务、责任、债务等，所有卖方共同承担合同的义务，且所有卖方就合同的履行承担连带责任。</w:t>
      </w:r>
    </w:p>
    <w:p w14:paraId="38B16C09">
      <w:pPr>
        <w:adjustRightInd w:val="0"/>
        <w:snapToGrid w:val="0"/>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10、不可抗力</w:t>
      </w:r>
    </w:p>
    <w:p w14:paraId="7D230E43">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39F705AB">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3E8B32C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10.3当事人一方因不可抗力的原因不能履行合同的，应及时通知对方，以减轻可能给对方造成的损失，并应当在合理期限内提供证明。</w:t>
      </w:r>
    </w:p>
    <w:p w14:paraId="1D67D959">
      <w:pPr>
        <w:adjustRightInd w:val="0"/>
        <w:snapToGrid w:val="0"/>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1</w:t>
      </w:r>
      <w:r>
        <w:rPr>
          <w:rFonts w:ascii="宋体" w:hAnsi="宋体"/>
          <w:b/>
          <w:bCs/>
          <w:color w:val="auto"/>
          <w:sz w:val="24"/>
          <w:szCs w:val="24"/>
          <w:highlight w:val="none"/>
        </w:rPr>
        <w:t>1</w:t>
      </w:r>
      <w:r>
        <w:rPr>
          <w:rFonts w:hint="eastAsia" w:ascii="宋体" w:hAnsi="宋体"/>
          <w:b/>
          <w:bCs/>
          <w:color w:val="auto"/>
          <w:sz w:val="24"/>
          <w:szCs w:val="24"/>
          <w:highlight w:val="none"/>
        </w:rPr>
        <w:t>、通知</w:t>
      </w:r>
    </w:p>
    <w:p w14:paraId="1ED233B8">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双方同意凡与本合同有关的通知及文件资料的送达，可以采用直接送达、或以EMS快递或电子邮件发送至本合同签字页载明的联系地址或电子信箱，双方指定联系人及联系方式与2</w:t>
      </w:r>
      <w:r>
        <w:rPr>
          <w:rFonts w:ascii="宋体" w:hAnsi="宋体"/>
          <w:color w:val="auto"/>
          <w:sz w:val="24"/>
          <w:szCs w:val="24"/>
          <w:highlight w:val="none"/>
        </w:rPr>
        <w:t>.1.3</w:t>
      </w:r>
      <w:r>
        <w:rPr>
          <w:rFonts w:hint="eastAsia" w:ascii="宋体" w:hAnsi="宋体"/>
          <w:color w:val="auto"/>
          <w:sz w:val="24"/>
          <w:szCs w:val="24"/>
          <w:highlight w:val="none"/>
        </w:rPr>
        <w:t>条所列一致。直接送达的以签收之日为送达日，以EMS快递通知的，以发往本合同签字页载明的联系地址之日视为送达，不论是否签收；以电子邮件通知的，以发生时间为送达时间。如同时采取多种方式发送通知的，以通知最先到达之日为送达日。电子邮箱、通讯地址、联系人等信息发生变更的，变更方应在变更前三天以书面形式告知对方；未告知的，视为未变更，由此导致通知及文件资料等不能送达或不能及时送达的后果由变更方自行承担。</w:t>
      </w:r>
    </w:p>
    <w:p w14:paraId="7553B9D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双方指定的送达地址适用于合同履行、非诉方式争议解决、诉讼（含一审、二审、再审）及执行等程序。</w:t>
      </w:r>
    </w:p>
    <w:p w14:paraId="149D9052">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上述送达具备《中华人民共和国民事诉讼法》规定送达效力，各方放弃提出异议、抗辩未依法送达的权利，产生的后果由各方自行承担。</w:t>
      </w:r>
    </w:p>
    <w:p w14:paraId="2B66BF7F">
      <w:pPr>
        <w:adjustRightInd w:val="0"/>
        <w:snapToGrid w:val="0"/>
        <w:spacing w:line="360" w:lineRule="auto"/>
        <w:rPr>
          <w:rFonts w:ascii="宋体" w:hAnsi="宋体"/>
          <w:color w:val="auto"/>
          <w:sz w:val="24"/>
          <w:szCs w:val="24"/>
          <w:highlight w:val="none"/>
        </w:rPr>
      </w:pPr>
      <w:r>
        <w:rPr>
          <w:rFonts w:hint="eastAsia" w:ascii="宋体" w:hAnsi="宋体"/>
          <w:b/>
          <w:bCs/>
          <w:color w:val="auto"/>
          <w:sz w:val="24"/>
          <w:szCs w:val="24"/>
          <w:highlight w:val="none"/>
        </w:rPr>
        <w:t>12、合同纠纷处理方式</w:t>
      </w:r>
    </w:p>
    <w:p w14:paraId="6AF706FF">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因本合同或与本合同有关的一切事项发生争议，由双方友好协商解决。协商不成的，任何一方均可向买方所在地人民法院提起诉讼。</w:t>
      </w:r>
    </w:p>
    <w:p w14:paraId="4C272289">
      <w:pPr>
        <w:adjustRightInd w:val="0"/>
        <w:snapToGrid w:val="0"/>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13、其他约定</w:t>
      </w:r>
    </w:p>
    <w:p w14:paraId="18B0284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13.1本采购项目的谈判文件、卖方的投标文件、相关的澄清确认函（如果有的话）以及附件1《技术参数》、附件2《服务考核细则》、附件3《</w:t>
      </w:r>
      <w:r>
        <w:rPr>
          <w:rFonts w:hint="eastAsia" w:ascii="宋体" w:hAnsi="宋体" w:cs="宋体"/>
          <w:color w:val="auto"/>
          <w:sz w:val="24"/>
          <w:szCs w:val="24"/>
          <w:highlight w:val="none"/>
        </w:rPr>
        <w:t>安装费用收费标准</w:t>
      </w:r>
      <w:r>
        <w:rPr>
          <w:rFonts w:hint="eastAsia" w:ascii="宋体" w:hAnsi="宋体"/>
          <w:color w:val="auto"/>
          <w:sz w:val="24"/>
          <w:szCs w:val="24"/>
          <w:highlight w:val="none"/>
        </w:rPr>
        <w:t>》及其他附件均为本合同不可分割的一部分，该等文件与本合同正文约定不一致的，以对买方更有利的约定为准。</w:t>
      </w:r>
    </w:p>
    <w:p w14:paraId="290D7800">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13.2本合同未尽事宜，双方另行补充。</w:t>
      </w:r>
    </w:p>
    <w:p w14:paraId="4B971751">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13.3本合同一式伍份，经双方签订之日起生效。买方、卖方各执贰份，送厦门市财政局政府采购监管处备案一份，具有同等效力。</w:t>
      </w:r>
    </w:p>
    <w:p w14:paraId="75CE217A">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13.4本合同期满后，本合同中有关质量保证、售后服务、知识产权及违约责任等条款继续保持有效。</w:t>
      </w:r>
    </w:p>
    <w:p w14:paraId="45765D7B">
      <w:pPr>
        <w:spacing w:line="360" w:lineRule="auto"/>
        <w:ind w:firstLine="480" w:firstLineChars="200"/>
        <w:rPr>
          <w:rFonts w:ascii="宋体" w:hAnsi="宋体"/>
          <w:color w:val="auto"/>
          <w:sz w:val="24"/>
          <w:szCs w:val="24"/>
          <w:highlight w:val="none"/>
        </w:rPr>
      </w:pPr>
    </w:p>
    <w:tbl>
      <w:tblPr>
        <w:tblStyle w:val="12"/>
        <w:tblW w:w="9348" w:type="dxa"/>
        <w:jc w:val="center"/>
        <w:tblLayout w:type="fixed"/>
        <w:tblCellMar>
          <w:top w:w="0" w:type="dxa"/>
          <w:left w:w="108" w:type="dxa"/>
          <w:bottom w:w="0" w:type="dxa"/>
          <w:right w:w="108" w:type="dxa"/>
        </w:tblCellMar>
      </w:tblPr>
      <w:tblGrid>
        <w:gridCol w:w="1442"/>
        <w:gridCol w:w="3121"/>
        <w:gridCol w:w="1486"/>
        <w:gridCol w:w="3299"/>
      </w:tblGrid>
      <w:tr w14:paraId="63DF6821">
        <w:tblPrEx>
          <w:tblCellMar>
            <w:top w:w="0" w:type="dxa"/>
            <w:left w:w="108" w:type="dxa"/>
            <w:bottom w:w="0" w:type="dxa"/>
            <w:right w:w="108" w:type="dxa"/>
          </w:tblCellMar>
        </w:tblPrEx>
        <w:trPr>
          <w:trHeight w:val="438"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397BFF42">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买   方</w:t>
            </w:r>
          </w:p>
        </w:tc>
        <w:tc>
          <w:tcPr>
            <w:tcW w:w="3121" w:type="dxa"/>
            <w:tcBorders>
              <w:top w:val="single" w:color="auto" w:sz="4" w:space="0"/>
              <w:left w:val="nil"/>
              <w:bottom w:val="single" w:color="auto" w:sz="4" w:space="0"/>
              <w:right w:val="single" w:color="auto" w:sz="4" w:space="0"/>
            </w:tcBorders>
            <w:vAlign w:val="center"/>
          </w:tcPr>
          <w:p w14:paraId="036CB510">
            <w:pPr>
              <w:pStyle w:val="7"/>
              <w:rPr>
                <w:rFonts w:ascii="宋体" w:hAnsi="宋体"/>
                <w:color w:val="auto"/>
                <w:kern w:val="0"/>
                <w:sz w:val="24"/>
                <w:highlight w:val="none"/>
              </w:rPr>
            </w:pPr>
            <w:bookmarkStart w:id="6" w:name="jf1"/>
            <w:bookmarkEnd w:id="6"/>
            <w:r>
              <w:rPr>
                <w:rFonts w:hint="eastAsia" w:ascii="宋体" w:hAnsi="宋体" w:cs="宋体"/>
                <w:color w:val="auto"/>
                <w:kern w:val="0"/>
                <w:sz w:val="24"/>
                <w:szCs w:val="24"/>
                <w:highlight w:val="none"/>
              </w:rPr>
              <w:t>厦门万翔网络商务有限公司</w:t>
            </w:r>
          </w:p>
        </w:tc>
        <w:tc>
          <w:tcPr>
            <w:tcW w:w="1486" w:type="dxa"/>
            <w:tcBorders>
              <w:top w:val="single" w:color="auto" w:sz="4" w:space="0"/>
              <w:left w:val="nil"/>
              <w:bottom w:val="single" w:color="auto" w:sz="4" w:space="0"/>
              <w:right w:val="single" w:color="auto" w:sz="4" w:space="0"/>
            </w:tcBorders>
            <w:vAlign w:val="center"/>
          </w:tcPr>
          <w:p w14:paraId="4C2C5D78">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卖   方</w:t>
            </w:r>
          </w:p>
        </w:tc>
        <w:tc>
          <w:tcPr>
            <w:tcW w:w="3299" w:type="dxa"/>
            <w:tcBorders>
              <w:top w:val="single" w:color="auto" w:sz="4" w:space="0"/>
              <w:left w:val="nil"/>
              <w:bottom w:val="single" w:color="auto" w:sz="4" w:space="0"/>
              <w:right w:val="single" w:color="auto" w:sz="4" w:space="0"/>
            </w:tcBorders>
            <w:vAlign w:val="center"/>
          </w:tcPr>
          <w:p w14:paraId="351EA289">
            <w:pPr>
              <w:pStyle w:val="7"/>
              <w:rPr>
                <w:rFonts w:ascii="宋体" w:hAnsi="宋体"/>
                <w:color w:val="auto"/>
                <w:kern w:val="0"/>
                <w:sz w:val="24"/>
                <w:highlight w:val="none"/>
              </w:rPr>
            </w:pPr>
          </w:p>
        </w:tc>
      </w:tr>
      <w:tr w14:paraId="70000310">
        <w:tblPrEx>
          <w:tblCellMar>
            <w:top w:w="0" w:type="dxa"/>
            <w:left w:w="108" w:type="dxa"/>
            <w:bottom w:w="0" w:type="dxa"/>
            <w:right w:w="108" w:type="dxa"/>
          </w:tblCellMar>
        </w:tblPrEx>
        <w:trPr>
          <w:trHeight w:val="58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195E98F3">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单位地址</w:t>
            </w:r>
          </w:p>
        </w:tc>
        <w:tc>
          <w:tcPr>
            <w:tcW w:w="3121" w:type="dxa"/>
            <w:tcBorders>
              <w:top w:val="single" w:color="auto" w:sz="4" w:space="0"/>
              <w:left w:val="nil"/>
              <w:bottom w:val="single" w:color="auto" w:sz="4" w:space="0"/>
              <w:right w:val="single" w:color="auto" w:sz="4" w:space="0"/>
            </w:tcBorders>
            <w:vAlign w:val="center"/>
          </w:tcPr>
          <w:p w14:paraId="7540E760">
            <w:pPr>
              <w:pStyle w:val="7"/>
              <w:rPr>
                <w:rFonts w:ascii="宋体" w:hAnsi="宋体"/>
                <w:color w:val="auto"/>
                <w:kern w:val="0"/>
                <w:sz w:val="24"/>
                <w:highlight w:val="none"/>
              </w:rPr>
            </w:pPr>
            <w:bookmarkStart w:id="7" w:name="jfzcdz"/>
            <w:bookmarkEnd w:id="7"/>
          </w:p>
        </w:tc>
        <w:tc>
          <w:tcPr>
            <w:tcW w:w="1486" w:type="dxa"/>
            <w:tcBorders>
              <w:top w:val="single" w:color="auto" w:sz="4" w:space="0"/>
              <w:left w:val="nil"/>
              <w:bottom w:val="single" w:color="auto" w:sz="4" w:space="0"/>
              <w:right w:val="single" w:color="auto" w:sz="4" w:space="0"/>
            </w:tcBorders>
            <w:vAlign w:val="center"/>
          </w:tcPr>
          <w:p w14:paraId="508D59F6">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单位地址</w:t>
            </w:r>
          </w:p>
        </w:tc>
        <w:tc>
          <w:tcPr>
            <w:tcW w:w="3299" w:type="dxa"/>
            <w:tcBorders>
              <w:top w:val="single" w:color="auto" w:sz="4" w:space="0"/>
              <w:left w:val="nil"/>
              <w:bottom w:val="single" w:color="auto" w:sz="4" w:space="0"/>
              <w:right w:val="single" w:color="auto" w:sz="4" w:space="0"/>
            </w:tcBorders>
            <w:vAlign w:val="center"/>
          </w:tcPr>
          <w:p w14:paraId="67FDD51D">
            <w:pPr>
              <w:pStyle w:val="7"/>
              <w:rPr>
                <w:rFonts w:ascii="宋体" w:hAnsi="宋体"/>
                <w:color w:val="auto"/>
                <w:kern w:val="0"/>
                <w:sz w:val="24"/>
                <w:highlight w:val="none"/>
              </w:rPr>
            </w:pPr>
          </w:p>
        </w:tc>
      </w:tr>
      <w:tr w14:paraId="66DB3997">
        <w:tblPrEx>
          <w:tblCellMar>
            <w:top w:w="0" w:type="dxa"/>
            <w:left w:w="108" w:type="dxa"/>
            <w:bottom w:w="0" w:type="dxa"/>
            <w:right w:w="108" w:type="dxa"/>
          </w:tblCellMar>
        </w:tblPrEx>
        <w:trPr>
          <w:trHeight w:val="499"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6BC76D47">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121" w:type="dxa"/>
            <w:tcBorders>
              <w:top w:val="single" w:color="auto" w:sz="4" w:space="0"/>
              <w:left w:val="nil"/>
              <w:bottom w:val="single" w:color="auto" w:sz="4" w:space="0"/>
              <w:right w:val="single" w:color="auto" w:sz="4" w:space="0"/>
            </w:tcBorders>
            <w:vAlign w:val="center"/>
          </w:tcPr>
          <w:p w14:paraId="627D157F">
            <w:pPr>
              <w:pStyle w:val="7"/>
              <w:rPr>
                <w:rFonts w:ascii="宋体" w:hAnsi="宋体"/>
                <w:color w:val="auto"/>
                <w:kern w:val="0"/>
                <w:sz w:val="24"/>
                <w:highlight w:val="none"/>
              </w:rPr>
            </w:pPr>
            <w:bookmarkStart w:id="8" w:name="jffddbr"/>
            <w:bookmarkEnd w:id="8"/>
          </w:p>
        </w:tc>
        <w:tc>
          <w:tcPr>
            <w:tcW w:w="1486" w:type="dxa"/>
            <w:tcBorders>
              <w:top w:val="single" w:color="auto" w:sz="4" w:space="0"/>
              <w:left w:val="nil"/>
              <w:bottom w:val="single" w:color="auto" w:sz="4" w:space="0"/>
              <w:right w:val="single" w:color="auto" w:sz="4" w:space="0"/>
            </w:tcBorders>
            <w:vAlign w:val="center"/>
          </w:tcPr>
          <w:p w14:paraId="7731C34F">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299" w:type="dxa"/>
            <w:tcBorders>
              <w:top w:val="single" w:color="auto" w:sz="4" w:space="0"/>
              <w:left w:val="nil"/>
              <w:bottom w:val="single" w:color="auto" w:sz="4" w:space="0"/>
              <w:right w:val="single" w:color="auto" w:sz="4" w:space="0"/>
            </w:tcBorders>
            <w:vAlign w:val="center"/>
          </w:tcPr>
          <w:p w14:paraId="1525C72C">
            <w:pPr>
              <w:pStyle w:val="7"/>
              <w:rPr>
                <w:rFonts w:ascii="宋体" w:hAnsi="宋体"/>
                <w:color w:val="auto"/>
                <w:kern w:val="0"/>
                <w:sz w:val="24"/>
                <w:highlight w:val="none"/>
              </w:rPr>
            </w:pPr>
          </w:p>
        </w:tc>
      </w:tr>
      <w:tr w14:paraId="6358ADCA">
        <w:tblPrEx>
          <w:tblCellMar>
            <w:top w:w="0" w:type="dxa"/>
            <w:left w:w="108" w:type="dxa"/>
            <w:bottom w:w="0" w:type="dxa"/>
            <w:right w:w="108" w:type="dxa"/>
          </w:tblCellMar>
        </w:tblPrEx>
        <w:trPr>
          <w:trHeight w:val="542"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6ADAF846">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签字代表</w:t>
            </w:r>
          </w:p>
        </w:tc>
        <w:tc>
          <w:tcPr>
            <w:tcW w:w="3121" w:type="dxa"/>
            <w:tcBorders>
              <w:top w:val="single" w:color="auto" w:sz="4" w:space="0"/>
              <w:left w:val="nil"/>
              <w:bottom w:val="single" w:color="auto" w:sz="4" w:space="0"/>
              <w:right w:val="single" w:color="auto" w:sz="4" w:space="0"/>
            </w:tcBorders>
            <w:vAlign w:val="center"/>
          </w:tcPr>
          <w:p w14:paraId="31CE7897">
            <w:pPr>
              <w:pStyle w:val="7"/>
              <w:rPr>
                <w:rFonts w:ascii="宋体" w:hAnsi="宋体"/>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5B77F5EF">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签字代表</w:t>
            </w:r>
          </w:p>
        </w:tc>
        <w:tc>
          <w:tcPr>
            <w:tcW w:w="3299" w:type="dxa"/>
            <w:tcBorders>
              <w:top w:val="single" w:color="auto" w:sz="4" w:space="0"/>
              <w:left w:val="nil"/>
              <w:bottom w:val="single" w:color="auto" w:sz="4" w:space="0"/>
              <w:right w:val="single" w:color="auto" w:sz="4" w:space="0"/>
            </w:tcBorders>
            <w:vAlign w:val="center"/>
          </w:tcPr>
          <w:p w14:paraId="7530FE06">
            <w:pPr>
              <w:pStyle w:val="7"/>
              <w:rPr>
                <w:rFonts w:ascii="宋体" w:hAnsi="宋体"/>
                <w:color w:val="auto"/>
                <w:kern w:val="0"/>
                <w:sz w:val="24"/>
                <w:highlight w:val="none"/>
              </w:rPr>
            </w:pPr>
          </w:p>
        </w:tc>
      </w:tr>
      <w:tr w14:paraId="34CDF449">
        <w:tblPrEx>
          <w:tblCellMar>
            <w:top w:w="0" w:type="dxa"/>
            <w:left w:w="108" w:type="dxa"/>
            <w:bottom w:w="0" w:type="dxa"/>
            <w:right w:w="108" w:type="dxa"/>
          </w:tblCellMar>
        </w:tblPrEx>
        <w:trPr>
          <w:trHeight w:val="327"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0E5264F5">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电    话</w:t>
            </w:r>
          </w:p>
        </w:tc>
        <w:tc>
          <w:tcPr>
            <w:tcW w:w="3121" w:type="dxa"/>
            <w:tcBorders>
              <w:top w:val="single" w:color="auto" w:sz="4" w:space="0"/>
              <w:left w:val="nil"/>
              <w:bottom w:val="single" w:color="auto" w:sz="4" w:space="0"/>
              <w:right w:val="single" w:color="auto" w:sz="4" w:space="0"/>
            </w:tcBorders>
            <w:vAlign w:val="center"/>
          </w:tcPr>
          <w:p w14:paraId="023BF0C9">
            <w:pPr>
              <w:pStyle w:val="7"/>
              <w:rPr>
                <w:rFonts w:ascii="宋体" w:hAnsi="宋体"/>
                <w:color w:val="auto"/>
                <w:kern w:val="0"/>
                <w:sz w:val="24"/>
                <w:highlight w:val="none"/>
              </w:rPr>
            </w:pPr>
            <w:bookmarkStart w:id="9" w:name="jflxdh"/>
            <w:bookmarkEnd w:id="9"/>
          </w:p>
        </w:tc>
        <w:tc>
          <w:tcPr>
            <w:tcW w:w="1486" w:type="dxa"/>
            <w:tcBorders>
              <w:top w:val="single" w:color="auto" w:sz="4" w:space="0"/>
              <w:left w:val="nil"/>
              <w:bottom w:val="single" w:color="auto" w:sz="4" w:space="0"/>
              <w:right w:val="single" w:color="auto" w:sz="4" w:space="0"/>
            </w:tcBorders>
            <w:vAlign w:val="center"/>
          </w:tcPr>
          <w:p w14:paraId="1EE4F240">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电   话</w:t>
            </w:r>
          </w:p>
        </w:tc>
        <w:tc>
          <w:tcPr>
            <w:tcW w:w="3299" w:type="dxa"/>
            <w:tcBorders>
              <w:top w:val="single" w:color="auto" w:sz="4" w:space="0"/>
              <w:left w:val="nil"/>
              <w:bottom w:val="single" w:color="auto" w:sz="4" w:space="0"/>
              <w:right w:val="single" w:color="auto" w:sz="4" w:space="0"/>
            </w:tcBorders>
            <w:vAlign w:val="center"/>
          </w:tcPr>
          <w:p w14:paraId="310422DD">
            <w:pPr>
              <w:pStyle w:val="7"/>
              <w:rPr>
                <w:rFonts w:ascii="宋体" w:hAnsi="宋体"/>
                <w:color w:val="auto"/>
                <w:kern w:val="0"/>
                <w:sz w:val="24"/>
                <w:highlight w:val="none"/>
              </w:rPr>
            </w:pPr>
          </w:p>
        </w:tc>
      </w:tr>
      <w:tr w14:paraId="7BC93567">
        <w:tblPrEx>
          <w:tblCellMar>
            <w:top w:w="0" w:type="dxa"/>
            <w:left w:w="108" w:type="dxa"/>
            <w:bottom w:w="0" w:type="dxa"/>
            <w:right w:w="108" w:type="dxa"/>
          </w:tblCellMar>
        </w:tblPrEx>
        <w:trPr>
          <w:trHeight w:val="74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0A0D7FB0">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开户行</w:t>
            </w:r>
          </w:p>
        </w:tc>
        <w:tc>
          <w:tcPr>
            <w:tcW w:w="3121" w:type="dxa"/>
            <w:tcBorders>
              <w:top w:val="single" w:color="auto" w:sz="4" w:space="0"/>
              <w:left w:val="nil"/>
              <w:bottom w:val="single" w:color="auto" w:sz="4" w:space="0"/>
              <w:right w:val="single" w:color="auto" w:sz="4" w:space="0"/>
            </w:tcBorders>
            <w:vAlign w:val="center"/>
          </w:tcPr>
          <w:p w14:paraId="1AD446F1">
            <w:pPr>
              <w:pStyle w:val="7"/>
              <w:rPr>
                <w:rFonts w:ascii="宋体" w:hAnsi="宋体"/>
                <w:color w:val="auto"/>
                <w:kern w:val="0"/>
                <w:sz w:val="24"/>
                <w:highlight w:val="none"/>
              </w:rPr>
            </w:pPr>
            <w:bookmarkStart w:id="10" w:name="jfkhh"/>
            <w:bookmarkEnd w:id="10"/>
          </w:p>
        </w:tc>
        <w:tc>
          <w:tcPr>
            <w:tcW w:w="1486" w:type="dxa"/>
            <w:tcBorders>
              <w:top w:val="single" w:color="auto" w:sz="4" w:space="0"/>
              <w:left w:val="nil"/>
              <w:bottom w:val="single" w:color="auto" w:sz="4" w:space="0"/>
              <w:right w:val="single" w:color="auto" w:sz="4" w:space="0"/>
            </w:tcBorders>
            <w:vAlign w:val="center"/>
          </w:tcPr>
          <w:p w14:paraId="221CA1D8">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z w:val="24"/>
                <w:szCs w:val="24"/>
                <w:highlight w:val="none"/>
              </w:rPr>
              <w:t>开户行</w:t>
            </w:r>
          </w:p>
        </w:tc>
        <w:tc>
          <w:tcPr>
            <w:tcW w:w="3299" w:type="dxa"/>
            <w:tcBorders>
              <w:top w:val="single" w:color="auto" w:sz="4" w:space="0"/>
              <w:left w:val="nil"/>
              <w:bottom w:val="single" w:color="auto" w:sz="4" w:space="0"/>
              <w:right w:val="single" w:color="auto" w:sz="4" w:space="0"/>
            </w:tcBorders>
            <w:vAlign w:val="center"/>
          </w:tcPr>
          <w:p w14:paraId="37DC8C47">
            <w:pPr>
              <w:autoSpaceDE w:val="0"/>
              <w:spacing w:line="240" w:lineRule="atLeast"/>
              <w:jc w:val="left"/>
              <w:rPr>
                <w:rFonts w:ascii="宋体" w:hAnsi="宋体"/>
                <w:color w:val="auto"/>
                <w:kern w:val="0"/>
                <w:sz w:val="24"/>
                <w:szCs w:val="18"/>
                <w:highlight w:val="none"/>
              </w:rPr>
            </w:pPr>
          </w:p>
        </w:tc>
      </w:tr>
      <w:tr w14:paraId="6EC16A7E">
        <w:tblPrEx>
          <w:tblCellMar>
            <w:top w:w="0" w:type="dxa"/>
            <w:left w:w="108" w:type="dxa"/>
            <w:bottom w:w="0" w:type="dxa"/>
            <w:right w:w="108" w:type="dxa"/>
          </w:tblCellMar>
        </w:tblPrEx>
        <w:trPr>
          <w:trHeight w:val="33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1668B92">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121" w:type="dxa"/>
            <w:tcBorders>
              <w:top w:val="single" w:color="auto" w:sz="4" w:space="0"/>
              <w:left w:val="single" w:color="auto" w:sz="4" w:space="0"/>
              <w:bottom w:val="single" w:color="auto" w:sz="4" w:space="0"/>
              <w:right w:val="single" w:color="auto" w:sz="4" w:space="0"/>
            </w:tcBorders>
            <w:vAlign w:val="center"/>
          </w:tcPr>
          <w:p w14:paraId="2D422A20">
            <w:pPr>
              <w:pStyle w:val="7"/>
              <w:rPr>
                <w:rFonts w:ascii="宋体" w:hAnsi="宋体"/>
                <w:color w:val="auto"/>
                <w:kern w:val="0"/>
                <w:sz w:val="24"/>
                <w:highlight w:val="none"/>
              </w:rPr>
            </w:pPr>
            <w:bookmarkStart w:id="11" w:name="jfzh"/>
            <w:bookmarkEnd w:id="11"/>
          </w:p>
        </w:tc>
        <w:tc>
          <w:tcPr>
            <w:tcW w:w="1486" w:type="dxa"/>
            <w:tcBorders>
              <w:top w:val="single" w:color="auto" w:sz="4" w:space="0"/>
              <w:left w:val="nil"/>
              <w:bottom w:val="single" w:color="auto" w:sz="4" w:space="0"/>
              <w:right w:val="single" w:color="auto" w:sz="4" w:space="0"/>
            </w:tcBorders>
            <w:vAlign w:val="center"/>
          </w:tcPr>
          <w:p w14:paraId="4F1F3086">
            <w:pPr>
              <w:pStyle w:val="7"/>
              <w:autoSpaceDE w:val="0"/>
              <w:spacing w:line="360" w:lineRule="auto"/>
              <w:jc w:val="center"/>
              <w:rPr>
                <w:rFonts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299" w:type="dxa"/>
            <w:tcBorders>
              <w:top w:val="single" w:color="auto" w:sz="4" w:space="0"/>
              <w:left w:val="nil"/>
              <w:bottom w:val="single" w:color="auto" w:sz="4" w:space="0"/>
              <w:right w:val="single" w:color="auto" w:sz="4" w:space="0"/>
            </w:tcBorders>
            <w:vAlign w:val="center"/>
          </w:tcPr>
          <w:p w14:paraId="09992887">
            <w:pPr>
              <w:autoSpaceDE w:val="0"/>
              <w:spacing w:line="360" w:lineRule="auto"/>
              <w:jc w:val="left"/>
              <w:rPr>
                <w:rFonts w:ascii="宋体" w:hAnsi="宋体"/>
                <w:color w:val="auto"/>
                <w:kern w:val="0"/>
                <w:sz w:val="24"/>
                <w:szCs w:val="18"/>
                <w:highlight w:val="none"/>
              </w:rPr>
            </w:pPr>
          </w:p>
        </w:tc>
      </w:tr>
      <w:tr w14:paraId="5813F9C1">
        <w:tblPrEx>
          <w:tblCellMar>
            <w:top w:w="0" w:type="dxa"/>
            <w:left w:w="108" w:type="dxa"/>
            <w:bottom w:w="0" w:type="dxa"/>
            <w:right w:w="108" w:type="dxa"/>
          </w:tblCellMar>
        </w:tblPrEx>
        <w:trPr>
          <w:trHeight w:val="46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3FD23398">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签订日期</w:t>
            </w:r>
          </w:p>
        </w:tc>
        <w:tc>
          <w:tcPr>
            <w:tcW w:w="3121" w:type="dxa"/>
            <w:tcBorders>
              <w:top w:val="single" w:color="auto" w:sz="4" w:space="0"/>
              <w:left w:val="single" w:color="auto" w:sz="4" w:space="0"/>
              <w:bottom w:val="single" w:color="auto" w:sz="4" w:space="0"/>
              <w:right w:val="single" w:color="auto" w:sz="4" w:space="0"/>
            </w:tcBorders>
            <w:vAlign w:val="center"/>
          </w:tcPr>
          <w:p w14:paraId="55BD4ADD">
            <w:pPr>
              <w:pStyle w:val="7"/>
              <w:autoSpaceDE w:val="0"/>
              <w:spacing w:line="360" w:lineRule="auto"/>
              <w:rPr>
                <w:rFonts w:ascii="宋体" w:hAnsi="宋体"/>
                <w:color w:val="auto"/>
                <w:sz w:val="24"/>
                <w:szCs w:val="24"/>
                <w:highlight w:val="none"/>
              </w:rPr>
            </w:pPr>
          </w:p>
        </w:tc>
        <w:tc>
          <w:tcPr>
            <w:tcW w:w="1486" w:type="dxa"/>
            <w:tcBorders>
              <w:top w:val="single" w:color="auto" w:sz="4" w:space="0"/>
              <w:left w:val="nil"/>
              <w:bottom w:val="single" w:color="auto" w:sz="4" w:space="0"/>
              <w:right w:val="single" w:color="auto" w:sz="4" w:space="0"/>
            </w:tcBorders>
            <w:vAlign w:val="center"/>
          </w:tcPr>
          <w:p w14:paraId="578F8DFB">
            <w:pPr>
              <w:pStyle w:val="7"/>
              <w:autoSpaceDE w:val="0"/>
              <w:spacing w:line="360" w:lineRule="auto"/>
              <w:jc w:val="center"/>
              <w:rPr>
                <w:rFonts w:ascii="宋体" w:hAnsi="宋体"/>
                <w:color w:val="auto"/>
                <w:sz w:val="24"/>
                <w:szCs w:val="24"/>
                <w:highlight w:val="none"/>
              </w:rPr>
            </w:pPr>
            <w:r>
              <w:rPr>
                <w:rFonts w:hint="eastAsia" w:ascii="宋体" w:hAnsi="宋体"/>
                <w:b/>
                <w:bCs/>
                <w:color w:val="auto"/>
                <w:sz w:val="24"/>
                <w:szCs w:val="24"/>
                <w:highlight w:val="none"/>
              </w:rPr>
              <w:t>签订日期</w:t>
            </w:r>
          </w:p>
        </w:tc>
        <w:tc>
          <w:tcPr>
            <w:tcW w:w="3299" w:type="dxa"/>
            <w:tcBorders>
              <w:top w:val="single" w:color="auto" w:sz="4" w:space="0"/>
              <w:left w:val="nil"/>
              <w:bottom w:val="single" w:color="auto" w:sz="4" w:space="0"/>
              <w:right w:val="single" w:color="auto" w:sz="4" w:space="0"/>
            </w:tcBorders>
            <w:vAlign w:val="center"/>
          </w:tcPr>
          <w:p w14:paraId="70AEE6B9">
            <w:pPr>
              <w:pStyle w:val="7"/>
              <w:autoSpaceDE w:val="0"/>
              <w:spacing w:line="360" w:lineRule="auto"/>
              <w:rPr>
                <w:rFonts w:ascii="宋体" w:hAnsi="宋体"/>
                <w:color w:val="auto"/>
                <w:sz w:val="24"/>
                <w:szCs w:val="24"/>
                <w:highlight w:val="none"/>
              </w:rPr>
            </w:pPr>
          </w:p>
        </w:tc>
      </w:tr>
    </w:tbl>
    <w:p w14:paraId="78F82AC7">
      <w:pPr>
        <w:spacing w:line="360" w:lineRule="auto"/>
        <w:rPr>
          <w:rFonts w:ascii="宋体" w:hAnsi="宋体"/>
          <w:color w:val="auto"/>
          <w:sz w:val="24"/>
          <w:szCs w:val="24"/>
          <w:highlight w:val="none"/>
        </w:rPr>
      </w:pPr>
    </w:p>
    <w:p w14:paraId="4E40F117">
      <w:pPr>
        <w:spacing w:line="360" w:lineRule="auto"/>
        <w:rPr>
          <w:rFonts w:ascii="宋体" w:hAnsi="宋体"/>
          <w:color w:val="auto"/>
          <w:sz w:val="24"/>
          <w:szCs w:val="24"/>
          <w:highlight w:val="none"/>
        </w:rPr>
      </w:pPr>
    </w:p>
    <w:p w14:paraId="1DFABFDD">
      <w:pPr>
        <w:spacing w:line="360" w:lineRule="auto"/>
        <w:rPr>
          <w:rFonts w:ascii="宋体" w:hAnsi="宋体"/>
          <w:color w:val="auto"/>
          <w:sz w:val="24"/>
          <w:szCs w:val="24"/>
          <w:highlight w:val="none"/>
        </w:rPr>
      </w:pPr>
    </w:p>
    <w:p w14:paraId="6F5BEAC5">
      <w:pPr>
        <w:spacing w:line="360" w:lineRule="auto"/>
        <w:rPr>
          <w:rFonts w:ascii="宋体" w:hAnsi="宋体"/>
          <w:color w:val="auto"/>
          <w:sz w:val="24"/>
          <w:szCs w:val="24"/>
          <w:highlight w:val="none"/>
        </w:rPr>
        <w:sectPr>
          <w:footerReference r:id="rId10" w:type="default"/>
          <w:pgSz w:w="11906" w:h="16838"/>
          <w:pgMar w:top="1440" w:right="1800" w:bottom="1440" w:left="1800" w:header="851" w:footer="992" w:gutter="0"/>
          <w:pgNumType w:start="1"/>
          <w:cols w:space="720" w:num="1"/>
          <w:docGrid w:type="lines" w:linePitch="312" w:charSpace="0"/>
        </w:sectPr>
      </w:pPr>
    </w:p>
    <w:p w14:paraId="73A295F6">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附件</w:t>
      </w:r>
      <w:r>
        <w:rPr>
          <w:rFonts w:ascii="宋体" w:hAnsi="宋体"/>
          <w:b/>
          <w:bCs/>
          <w:color w:val="auto"/>
          <w:sz w:val="24"/>
          <w:szCs w:val="24"/>
          <w:highlight w:val="none"/>
        </w:rPr>
        <w:t>1</w:t>
      </w:r>
      <w:r>
        <w:rPr>
          <w:rFonts w:hint="eastAsia" w:ascii="宋体" w:hAnsi="宋体"/>
          <w:b/>
          <w:bCs/>
          <w:color w:val="auto"/>
          <w:sz w:val="24"/>
          <w:szCs w:val="24"/>
          <w:highlight w:val="none"/>
        </w:rPr>
        <w:t>：技术参数</w:t>
      </w:r>
      <w:r>
        <w:rPr>
          <w:rFonts w:ascii="宋体" w:hAnsi="宋体"/>
          <w:b/>
          <w:bCs/>
          <w:color w:val="auto"/>
          <w:sz w:val="24"/>
          <w:szCs w:val="24"/>
          <w:highlight w:val="none"/>
        </w:rPr>
        <w:t> </w:t>
      </w:r>
    </w:p>
    <w:tbl>
      <w:tblPr>
        <w:tblStyle w:val="12"/>
        <w:tblW w:w="51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033"/>
        <w:gridCol w:w="1820"/>
        <w:gridCol w:w="16"/>
        <w:gridCol w:w="915"/>
        <w:gridCol w:w="1403"/>
        <w:gridCol w:w="24"/>
        <w:gridCol w:w="981"/>
        <w:gridCol w:w="163"/>
        <w:gridCol w:w="35"/>
        <w:gridCol w:w="1670"/>
      </w:tblGrid>
      <w:tr w14:paraId="1FDF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684" w:type="dxa"/>
            <w:tcBorders>
              <w:top w:val="single" w:color="auto" w:sz="4" w:space="0"/>
              <w:left w:val="single" w:color="auto" w:sz="4" w:space="0"/>
              <w:bottom w:val="single" w:color="auto" w:sz="4" w:space="0"/>
              <w:right w:val="single" w:color="auto" w:sz="4" w:space="0"/>
            </w:tcBorders>
            <w:vAlign w:val="center"/>
          </w:tcPr>
          <w:p w14:paraId="1AD96F60">
            <w:pPr>
              <w:spacing w:line="240" w:lineRule="atLeast"/>
              <w:ind w:left="105" w:hanging="105" w:hangingChars="50"/>
              <w:jc w:val="center"/>
              <w:rPr>
                <w:rFonts w:ascii="宋体" w:hAnsi="宋体" w:cs="宋体"/>
                <w:color w:val="auto"/>
                <w:szCs w:val="21"/>
                <w:highlight w:val="none"/>
              </w:rPr>
            </w:pPr>
            <w:r>
              <w:rPr>
                <w:rFonts w:hint="eastAsia" w:ascii="宋体" w:hAnsi="宋体" w:cs="宋体"/>
                <w:color w:val="auto"/>
                <w:szCs w:val="21"/>
                <w:highlight w:val="none"/>
              </w:rPr>
              <w:t>1-1</w:t>
            </w:r>
          </w:p>
        </w:tc>
        <w:tc>
          <w:tcPr>
            <w:tcW w:w="1033" w:type="dxa"/>
            <w:tcBorders>
              <w:top w:val="single" w:color="auto" w:sz="4" w:space="0"/>
              <w:left w:val="single" w:color="auto" w:sz="4" w:space="0"/>
              <w:bottom w:val="single" w:color="auto" w:sz="4" w:space="0"/>
              <w:right w:val="single" w:color="auto" w:sz="4" w:space="0"/>
            </w:tcBorders>
            <w:vAlign w:val="center"/>
          </w:tcPr>
          <w:p w14:paraId="2C593086">
            <w:pPr>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836" w:type="dxa"/>
            <w:gridSpan w:val="2"/>
            <w:tcBorders>
              <w:top w:val="single" w:color="auto" w:sz="4" w:space="0"/>
              <w:left w:val="single" w:color="auto" w:sz="4" w:space="0"/>
              <w:bottom w:val="single" w:color="auto" w:sz="4" w:space="0"/>
              <w:right w:val="single" w:color="auto" w:sz="4" w:space="0"/>
            </w:tcBorders>
            <w:vAlign w:val="center"/>
          </w:tcPr>
          <w:p w14:paraId="4AE19A53">
            <w:pPr>
              <w:spacing w:line="240" w:lineRule="atLeast"/>
              <w:jc w:val="center"/>
              <w:rPr>
                <w:rFonts w:ascii="宋体" w:hAnsi="宋体" w:cs="宋体"/>
                <w:color w:val="auto"/>
                <w:szCs w:val="21"/>
                <w:highlight w:val="none"/>
              </w:rPr>
            </w:pPr>
            <w:r>
              <w:rPr>
                <w:rFonts w:hint="eastAsia" w:ascii="宋体" w:hAnsi="宋体"/>
                <w:color w:val="auto"/>
                <w:highlight w:val="none"/>
              </w:rPr>
              <w:t>A4彩色单功能喷墨打印机</w:t>
            </w:r>
          </w:p>
        </w:tc>
        <w:tc>
          <w:tcPr>
            <w:tcW w:w="915" w:type="dxa"/>
            <w:tcBorders>
              <w:top w:val="single" w:color="auto" w:sz="4" w:space="0"/>
              <w:left w:val="single" w:color="auto" w:sz="4" w:space="0"/>
              <w:bottom w:val="single" w:color="auto" w:sz="4" w:space="0"/>
              <w:right w:val="single" w:color="auto" w:sz="4" w:space="0"/>
            </w:tcBorders>
            <w:vAlign w:val="center"/>
          </w:tcPr>
          <w:p w14:paraId="45621F60">
            <w:pPr>
              <w:spacing w:line="240" w:lineRule="atLeas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制造商</w:t>
            </w:r>
          </w:p>
        </w:tc>
        <w:tc>
          <w:tcPr>
            <w:tcW w:w="1403" w:type="dxa"/>
            <w:tcBorders>
              <w:top w:val="single" w:color="auto" w:sz="4" w:space="0"/>
              <w:left w:val="single" w:color="auto" w:sz="4" w:space="0"/>
              <w:bottom w:val="single" w:color="auto" w:sz="4" w:space="0"/>
              <w:right w:val="single" w:color="auto" w:sz="4" w:space="0"/>
            </w:tcBorders>
            <w:vAlign w:val="center"/>
          </w:tcPr>
          <w:p w14:paraId="680B697C">
            <w:pPr>
              <w:spacing w:line="240" w:lineRule="atLeast"/>
              <w:jc w:val="center"/>
              <w:rPr>
                <w:rFonts w:ascii="宋体" w:hAnsi="宋体" w:cs="宋体"/>
                <w:color w:val="auto"/>
                <w:kern w:val="0"/>
                <w:szCs w:val="21"/>
                <w:highlight w:val="none"/>
              </w:rPr>
            </w:pPr>
          </w:p>
        </w:tc>
        <w:tc>
          <w:tcPr>
            <w:tcW w:w="1005" w:type="dxa"/>
            <w:gridSpan w:val="2"/>
            <w:tcBorders>
              <w:top w:val="single" w:color="auto" w:sz="4" w:space="0"/>
              <w:left w:val="single" w:color="auto" w:sz="4" w:space="0"/>
              <w:bottom w:val="single" w:color="auto" w:sz="4" w:space="0"/>
              <w:right w:val="single" w:color="auto" w:sz="4" w:space="0"/>
            </w:tcBorders>
            <w:vAlign w:val="center"/>
          </w:tcPr>
          <w:p w14:paraId="348811FF">
            <w:pPr>
              <w:spacing w:line="240" w:lineRule="atLeast"/>
              <w:jc w:val="center"/>
              <w:rPr>
                <w:rFonts w:ascii="宋体" w:hAnsi="宋体" w:cs="宋体"/>
                <w:color w:val="auto"/>
                <w:kern w:val="0"/>
                <w:szCs w:val="21"/>
                <w:highlight w:val="none"/>
              </w:rPr>
            </w:pPr>
            <w:r>
              <w:rPr>
                <w:rFonts w:hint="eastAsia" w:ascii="宋体" w:hAnsi="宋体" w:cs="宋体"/>
                <w:color w:val="auto"/>
                <w:kern w:val="0"/>
                <w:szCs w:val="21"/>
                <w:highlight w:val="none"/>
              </w:rPr>
              <w:t>型号规格</w:t>
            </w:r>
          </w:p>
        </w:tc>
        <w:tc>
          <w:tcPr>
            <w:tcW w:w="1868" w:type="dxa"/>
            <w:gridSpan w:val="3"/>
            <w:tcBorders>
              <w:top w:val="single" w:color="auto" w:sz="4" w:space="0"/>
              <w:left w:val="single" w:color="auto" w:sz="4" w:space="0"/>
              <w:bottom w:val="single" w:color="auto" w:sz="4" w:space="0"/>
              <w:right w:val="single" w:color="auto" w:sz="4" w:space="0"/>
            </w:tcBorders>
            <w:vAlign w:val="center"/>
          </w:tcPr>
          <w:p w14:paraId="0759ABBA">
            <w:pPr>
              <w:spacing w:line="240" w:lineRule="atLeast"/>
              <w:jc w:val="center"/>
              <w:rPr>
                <w:rFonts w:ascii="宋体" w:hAnsi="宋体" w:cs="宋体"/>
                <w:color w:val="auto"/>
                <w:kern w:val="0"/>
                <w:szCs w:val="21"/>
                <w:highlight w:val="none"/>
              </w:rPr>
            </w:pPr>
          </w:p>
        </w:tc>
      </w:tr>
      <w:tr w14:paraId="350D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744" w:type="dxa"/>
            <w:gridSpan w:val="11"/>
            <w:tcBorders>
              <w:top w:val="single" w:color="auto" w:sz="4" w:space="0"/>
              <w:left w:val="single" w:color="auto" w:sz="4" w:space="0"/>
              <w:bottom w:val="single" w:color="auto" w:sz="4" w:space="0"/>
              <w:right w:val="single" w:color="auto" w:sz="4" w:space="0"/>
            </w:tcBorders>
            <w:vAlign w:val="center"/>
          </w:tcPr>
          <w:p w14:paraId="2967F40C">
            <w:pPr>
              <w:spacing w:line="240" w:lineRule="atLeast"/>
              <w:jc w:val="left"/>
              <w:rPr>
                <w:rFonts w:ascii="宋体" w:hAnsi="宋体" w:cs="宋体"/>
                <w:color w:val="auto"/>
                <w:szCs w:val="21"/>
                <w:highlight w:val="none"/>
              </w:rPr>
            </w:pPr>
            <w:r>
              <w:rPr>
                <w:rFonts w:hint="eastAsia" w:ascii="宋体" w:hAnsi="宋体" w:cs="宋体"/>
                <w:color w:val="auto"/>
                <w:szCs w:val="21"/>
                <w:highlight w:val="none"/>
              </w:rPr>
              <w:t>参数详情：</w:t>
            </w:r>
          </w:p>
          <w:p w14:paraId="66531EE3">
            <w:pPr>
              <w:spacing w:line="240" w:lineRule="atLeast"/>
              <w:jc w:val="left"/>
              <w:rPr>
                <w:rFonts w:ascii="宋体" w:hAnsi="宋体" w:cs="宋体"/>
                <w:color w:val="auto"/>
                <w:szCs w:val="21"/>
                <w:highlight w:val="none"/>
              </w:rPr>
            </w:pPr>
          </w:p>
        </w:tc>
      </w:tr>
      <w:tr w14:paraId="777A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684" w:type="dxa"/>
            <w:tcBorders>
              <w:top w:val="single" w:color="auto" w:sz="4" w:space="0"/>
              <w:left w:val="single" w:color="auto" w:sz="4" w:space="0"/>
              <w:bottom w:val="single" w:color="auto" w:sz="4" w:space="0"/>
              <w:right w:val="single" w:color="auto" w:sz="4" w:space="0"/>
            </w:tcBorders>
            <w:vAlign w:val="center"/>
          </w:tcPr>
          <w:p w14:paraId="3341C346">
            <w:pPr>
              <w:spacing w:line="240" w:lineRule="atLeast"/>
              <w:ind w:left="105" w:hanging="105" w:hangingChars="50"/>
              <w:jc w:val="center"/>
              <w:rPr>
                <w:rFonts w:ascii="宋体" w:hAnsi="宋体" w:cs="宋体"/>
                <w:color w:val="auto"/>
                <w:szCs w:val="21"/>
                <w:highlight w:val="none"/>
              </w:rPr>
            </w:pPr>
            <w:r>
              <w:rPr>
                <w:rFonts w:hint="eastAsia" w:ascii="宋体" w:hAnsi="宋体" w:cs="宋体"/>
                <w:color w:val="auto"/>
                <w:szCs w:val="21"/>
                <w:highlight w:val="none"/>
              </w:rPr>
              <w:t>1-2</w:t>
            </w:r>
          </w:p>
        </w:tc>
        <w:tc>
          <w:tcPr>
            <w:tcW w:w="1033" w:type="dxa"/>
            <w:tcBorders>
              <w:top w:val="single" w:color="auto" w:sz="4" w:space="0"/>
              <w:left w:val="single" w:color="auto" w:sz="4" w:space="0"/>
              <w:bottom w:val="single" w:color="auto" w:sz="4" w:space="0"/>
              <w:right w:val="single" w:color="auto" w:sz="4" w:space="0"/>
            </w:tcBorders>
            <w:vAlign w:val="center"/>
          </w:tcPr>
          <w:p w14:paraId="55590D65">
            <w:pPr>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836" w:type="dxa"/>
            <w:gridSpan w:val="2"/>
            <w:tcBorders>
              <w:top w:val="single" w:color="auto" w:sz="4" w:space="0"/>
              <w:left w:val="single" w:color="auto" w:sz="4" w:space="0"/>
              <w:bottom w:val="single" w:color="auto" w:sz="4" w:space="0"/>
              <w:right w:val="single" w:color="auto" w:sz="4" w:space="0"/>
            </w:tcBorders>
            <w:vAlign w:val="center"/>
          </w:tcPr>
          <w:p w14:paraId="3A6AC53A">
            <w:pPr>
              <w:spacing w:line="240" w:lineRule="atLeast"/>
              <w:jc w:val="center"/>
              <w:rPr>
                <w:rFonts w:ascii="宋体" w:hAnsi="宋体" w:cs="宋体"/>
                <w:color w:val="auto"/>
                <w:szCs w:val="21"/>
                <w:highlight w:val="none"/>
              </w:rPr>
            </w:pPr>
            <w:r>
              <w:rPr>
                <w:rFonts w:hint="eastAsia" w:ascii="宋体" w:hAnsi="宋体"/>
                <w:color w:val="auto"/>
                <w:highlight w:val="none"/>
              </w:rPr>
              <w:t>A4彩色多功能喷墨打印机（基础）</w:t>
            </w:r>
          </w:p>
        </w:tc>
        <w:tc>
          <w:tcPr>
            <w:tcW w:w="915" w:type="dxa"/>
            <w:tcBorders>
              <w:top w:val="single" w:color="auto" w:sz="4" w:space="0"/>
              <w:left w:val="single" w:color="auto" w:sz="4" w:space="0"/>
              <w:bottom w:val="single" w:color="auto" w:sz="4" w:space="0"/>
              <w:right w:val="single" w:color="auto" w:sz="4" w:space="0"/>
            </w:tcBorders>
            <w:vAlign w:val="center"/>
          </w:tcPr>
          <w:p w14:paraId="512CB424">
            <w:pPr>
              <w:spacing w:line="240" w:lineRule="atLeas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制造商</w:t>
            </w:r>
          </w:p>
        </w:tc>
        <w:tc>
          <w:tcPr>
            <w:tcW w:w="1403" w:type="dxa"/>
            <w:tcBorders>
              <w:top w:val="single" w:color="auto" w:sz="4" w:space="0"/>
              <w:left w:val="single" w:color="auto" w:sz="4" w:space="0"/>
              <w:bottom w:val="single" w:color="auto" w:sz="4" w:space="0"/>
              <w:right w:val="single" w:color="auto" w:sz="4" w:space="0"/>
            </w:tcBorders>
            <w:vAlign w:val="center"/>
          </w:tcPr>
          <w:p w14:paraId="06264D4E">
            <w:pPr>
              <w:spacing w:line="240" w:lineRule="atLeast"/>
              <w:jc w:val="center"/>
              <w:rPr>
                <w:rFonts w:ascii="宋体" w:hAnsi="宋体" w:cs="宋体"/>
                <w:color w:val="auto"/>
                <w:kern w:val="0"/>
                <w:szCs w:val="21"/>
                <w:highlight w:val="none"/>
              </w:rPr>
            </w:pPr>
          </w:p>
        </w:tc>
        <w:tc>
          <w:tcPr>
            <w:tcW w:w="1168" w:type="dxa"/>
            <w:gridSpan w:val="3"/>
            <w:tcBorders>
              <w:top w:val="single" w:color="auto" w:sz="4" w:space="0"/>
              <w:left w:val="single" w:color="auto" w:sz="4" w:space="0"/>
              <w:bottom w:val="single" w:color="auto" w:sz="4" w:space="0"/>
              <w:right w:val="single" w:color="auto" w:sz="4" w:space="0"/>
            </w:tcBorders>
            <w:vAlign w:val="center"/>
          </w:tcPr>
          <w:p w14:paraId="0FC63842">
            <w:pPr>
              <w:spacing w:line="240" w:lineRule="atLeast"/>
              <w:jc w:val="center"/>
              <w:rPr>
                <w:rFonts w:ascii="宋体" w:hAnsi="宋体" w:cs="宋体"/>
                <w:color w:val="auto"/>
                <w:kern w:val="0"/>
                <w:szCs w:val="21"/>
                <w:highlight w:val="none"/>
              </w:rPr>
            </w:pPr>
            <w:r>
              <w:rPr>
                <w:rFonts w:hint="eastAsia" w:ascii="宋体" w:hAnsi="宋体" w:cs="宋体"/>
                <w:color w:val="auto"/>
                <w:kern w:val="0"/>
                <w:szCs w:val="21"/>
                <w:highlight w:val="none"/>
              </w:rPr>
              <w:t>型号规格</w:t>
            </w:r>
          </w:p>
        </w:tc>
        <w:tc>
          <w:tcPr>
            <w:tcW w:w="1705" w:type="dxa"/>
            <w:gridSpan w:val="2"/>
            <w:tcBorders>
              <w:top w:val="single" w:color="auto" w:sz="4" w:space="0"/>
              <w:left w:val="single" w:color="auto" w:sz="4" w:space="0"/>
              <w:bottom w:val="single" w:color="auto" w:sz="4" w:space="0"/>
              <w:right w:val="single" w:color="auto" w:sz="4" w:space="0"/>
            </w:tcBorders>
            <w:vAlign w:val="center"/>
          </w:tcPr>
          <w:p w14:paraId="5A3441CF">
            <w:pPr>
              <w:spacing w:line="240" w:lineRule="atLeast"/>
              <w:jc w:val="center"/>
              <w:rPr>
                <w:rFonts w:ascii="宋体" w:hAnsi="宋体" w:cs="宋体"/>
                <w:color w:val="auto"/>
                <w:kern w:val="0"/>
                <w:szCs w:val="21"/>
                <w:highlight w:val="none"/>
              </w:rPr>
            </w:pPr>
          </w:p>
        </w:tc>
      </w:tr>
      <w:tr w14:paraId="2A4A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744" w:type="dxa"/>
            <w:gridSpan w:val="11"/>
            <w:tcBorders>
              <w:top w:val="single" w:color="auto" w:sz="4" w:space="0"/>
              <w:left w:val="single" w:color="auto" w:sz="4" w:space="0"/>
              <w:bottom w:val="single" w:color="auto" w:sz="4" w:space="0"/>
              <w:right w:val="single" w:color="auto" w:sz="4" w:space="0"/>
            </w:tcBorders>
            <w:vAlign w:val="center"/>
          </w:tcPr>
          <w:p w14:paraId="738F5D11">
            <w:pPr>
              <w:spacing w:line="240" w:lineRule="atLeast"/>
              <w:jc w:val="left"/>
              <w:rPr>
                <w:rFonts w:ascii="宋体" w:hAnsi="宋体" w:cs="宋体"/>
                <w:color w:val="auto"/>
                <w:szCs w:val="21"/>
                <w:highlight w:val="none"/>
              </w:rPr>
            </w:pPr>
            <w:r>
              <w:rPr>
                <w:rFonts w:hint="eastAsia" w:ascii="宋体" w:hAnsi="宋体" w:cs="宋体"/>
                <w:color w:val="auto"/>
                <w:szCs w:val="21"/>
                <w:highlight w:val="none"/>
              </w:rPr>
              <w:t>参数详情：</w:t>
            </w:r>
          </w:p>
          <w:p w14:paraId="35276C75">
            <w:pPr>
              <w:spacing w:line="240" w:lineRule="atLeast"/>
              <w:jc w:val="left"/>
              <w:rPr>
                <w:rFonts w:ascii="宋体" w:hAnsi="宋体" w:cs="宋体"/>
                <w:color w:val="auto"/>
                <w:szCs w:val="21"/>
                <w:highlight w:val="none"/>
              </w:rPr>
            </w:pPr>
          </w:p>
        </w:tc>
      </w:tr>
      <w:tr w14:paraId="18B3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684" w:type="dxa"/>
            <w:tcBorders>
              <w:top w:val="single" w:color="auto" w:sz="4" w:space="0"/>
              <w:left w:val="single" w:color="auto" w:sz="4" w:space="0"/>
              <w:bottom w:val="single" w:color="auto" w:sz="4" w:space="0"/>
              <w:right w:val="single" w:color="auto" w:sz="4" w:space="0"/>
            </w:tcBorders>
            <w:vAlign w:val="center"/>
          </w:tcPr>
          <w:p w14:paraId="23AB944D">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033" w:type="dxa"/>
            <w:tcBorders>
              <w:top w:val="single" w:color="auto" w:sz="4" w:space="0"/>
              <w:left w:val="single" w:color="auto" w:sz="4" w:space="0"/>
              <w:bottom w:val="single" w:color="auto" w:sz="4" w:space="0"/>
              <w:right w:val="single" w:color="auto" w:sz="4" w:space="0"/>
            </w:tcBorders>
            <w:vAlign w:val="center"/>
          </w:tcPr>
          <w:p w14:paraId="56992B57">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836" w:type="dxa"/>
            <w:gridSpan w:val="2"/>
            <w:tcBorders>
              <w:top w:val="single" w:color="auto" w:sz="4" w:space="0"/>
              <w:left w:val="single" w:color="auto" w:sz="4" w:space="0"/>
              <w:bottom w:val="single" w:color="auto" w:sz="4" w:space="0"/>
              <w:right w:val="single" w:color="auto" w:sz="4" w:space="0"/>
            </w:tcBorders>
            <w:vAlign w:val="center"/>
          </w:tcPr>
          <w:p w14:paraId="14D53CA6">
            <w:pPr>
              <w:widowControl/>
              <w:spacing w:line="240" w:lineRule="atLeast"/>
              <w:jc w:val="center"/>
              <w:rPr>
                <w:rFonts w:ascii="宋体" w:hAnsi="宋体" w:cs="宋体"/>
                <w:color w:val="auto"/>
                <w:szCs w:val="21"/>
                <w:highlight w:val="none"/>
              </w:rPr>
            </w:pPr>
            <w:r>
              <w:rPr>
                <w:rFonts w:hint="eastAsia" w:ascii="宋体" w:hAnsi="宋体"/>
                <w:color w:val="auto"/>
                <w:highlight w:val="none"/>
              </w:rPr>
              <w:t>A4彩色多功能喷墨打印机（高端）</w:t>
            </w:r>
          </w:p>
        </w:tc>
        <w:tc>
          <w:tcPr>
            <w:tcW w:w="915" w:type="dxa"/>
            <w:tcBorders>
              <w:top w:val="single" w:color="auto" w:sz="4" w:space="0"/>
              <w:left w:val="single" w:color="auto" w:sz="4" w:space="0"/>
              <w:bottom w:val="single" w:color="auto" w:sz="4" w:space="0"/>
              <w:right w:val="single" w:color="auto" w:sz="4" w:space="0"/>
            </w:tcBorders>
            <w:vAlign w:val="center"/>
          </w:tcPr>
          <w:p w14:paraId="65FF4979">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制造商</w:t>
            </w:r>
          </w:p>
        </w:tc>
        <w:tc>
          <w:tcPr>
            <w:tcW w:w="1403" w:type="dxa"/>
            <w:tcBorders>
              <w:top w:val="single" w:color="auto" w:sz="4" w:space="0"/>
              <w:left w:val="single" w:color="auto" w:sz="4" w:space="0"/>
              <w:bottom w:val="single" w:color="auto" w:sz="4" w:space="0"/>
              <w:right w:val="single" w:color="auto" w:sz="4" w:space="0"/>
            </w:tcBorders>
            <w:vAlign w:val="center"/>
          </w:tcPr>
          <w:p w14:paraId="3468C048">
            <w:pPr>
              <w:widowControl/>
              <w:spacing w:line="240" w:lineRule="atLeast"/>
              <w:jc w:val="center"/>
              <w:rPr>
                <w:rFonts w:ascii="宋体" w:hAnsi="宋体" w:cs="宋体"/>
                <w:color w:val="auto"/>
                <w:szCs w:val="21"/>
                <w:highlight w:val="none"/>
              </w:rPr>
            </w:pPr>
          </w:p>
        </w:tc>
        <w:tc>
          <w:tcPr>
            <w:tcW w:w="1168" w:type="dxa"/>
            <w:gridSpan w:val="3"/>
            <w:tcBorders>
              <w:top w:val="single" w:color="auto" w:sz="4" w:space="0"/>
              <w:left w:val="single" w:color="auto" w:sz="4" w:space="0"/>
              <w:bottom w:val="single" w:color="auto" w:sz="4" w:space="0"/>
              <w:right w:val="single" w:color="auto" w:sz="4" w:space="0"/>
            </w:tcBorders>
            <w:vAlign w:val="center"/>
          </w:tcPr>
          <w:p w14:paraId="5C0595E3">
            <w:pPr>
              <w:widowControl/>
              <w:spacing w:line="240" w:lineRule="atLeast"/>
              <w:jc w:val="center"/>
              <w:rPr>
                <w:rFonts w:ascii="宋体" w:hAnsi="宋体" w:cs="宋体"/>
                <w:color w:val="auto"/>
                <w:szCs w:val="21"/>
                <w:highlight w:val="none"/>
              </w:rPr>
            </w:pPr>
            <w:r>
              <w:rPr>
                <w:rFonts w:hint="eastAsia" w:ascii="宋体" w:hAnsi="宋体" w:cs="宋体"/>
                <w:color w:val="auto"/>
                <w:kern w:val="0"/>
                <w:szCs w:val="21"/>
                <w:highlight w:val="none"/>
              </w:rPr>
              <w:t>型号规格</w:t>
            </w:r>
          </w:p>
        </w:tc>
        <w:tc>
          <w:tcPr>
            <w:tcW w:w="1705" w:type="dxa"/>
            <w:gridSpan w:val="2"/>
            <w:tcBorders>
              <w:top w:val="single" w:color="auto" w:sz="4" w:space="0"/>
              <w:left w:val="single" w:color="auto" w:sz="4" w:space="0"/>
              <w:bottom w:val="single" w:color="auto" w:sz="4" w:space="0"/>
              <w:right w:val="single" w:color="auto" w:sz="4" w:space="0"/>
            </w:tcBorders>
            <w:vAlign w:val="center"/>
          </w:tcPr>
          <w:p w14:paraId="75CC000D">
            <w:pPr>
              <w:widowControl/>
              <w:spacing w:line="240" w:lineRule="atLeast"/>
              <w:jc w:val="center"/>
              <w:rPr>
                <w:rFonts w:ascii="宋体" w:hAnsi="宋体" w:cs="宋体"/>
                <w:color w:val="auto"/>
                <w:szCs w:val="21"/>
                <w:highlight w:val="none"/>
              </w:rPr>
            </w:pPr>
          </w:p>
        </w:tc>
      </w:tr>
      <w:tr w14:paraId="4DCF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744" w:type="dxa"/>
            <w:gridSpan w:val="11"/>
            <w:tcBorders>
              <w:top w:val="single" w:color="auto" w:sz="4" w:space="0"/>
              <w:left w:val="single" w:color="auto" w:sz="4" w:space="0"/>
              <w:bottom w:val="single" w:color="auto" w:sz="4" w:space="0"/>
              <w:right w:val="single" w:color="auto" w:sz="4" w:space="0"/>
            </w:tcBorders>
            <w:vAlign w:val="center"/>
          </w:tcPr>
          <w:p w14:paraId="336BE8AA">
            <w:pPr>
              <w:rPr>
                <w:rFonts w:ascii="宋体" w:hAnsi="宋体"/>
                <w:color w:val="auto"/>
                <w:highlight w:val="none"/>
              </w:rPr>
            </w:pPr>
            <w:r>
              <w:rPr>
                <w:rFonts w:hint="eastAsia" w:ascii="宋体" w:hAnsi="宋体"/>
                <w:color w:val="auto"/>
                <w:highlight w:val="none"/>
              </w:rPr>
              <w:t>详细性能说明</w:t>
            </w:r>
          </w:p>
          <w:p w14:paraId="2A26402A">
            <w:pPr>
              <w:widowControl/>
              <w:spacing w:line="240" w:lineRule="atLeast"/>
              <w:jc w:val="left"/>
              <w:rPr>
                <w:rFonts w:ascii="宋体" w:hAnsi="宋体"/>
                <w:color w:val="auto"/>
                <w:highlight w:val="none"/>
              </w:rPr>
            </w:pPr>
          </w:p>
        </w:tc>
      </w:tr>
      <w:tr w14:paraId="6ED2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684" w:type="dxa"/>
            <w:tcBorders>
              <w:top w:val="single" w:color="auto" w:sz="4" w:space="0"/>
              <w:left w:val="single" w:color="auto" w:sz="4" w:space="0"/>
              <w:bottom w:val="single" w:color="auto" w:sz="4" w:space="0"/>
              <w:right w:val="single" w:color="auto" w:sz="4" w:space="0"/>
            </w:tcBorders>
            <w:vAlign w:val="center"/>
          </w:tcPr>
          <w:p w14:paraId="69A9A5EC">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033" w:type="dxa"/>
            <w:tcBorders>
              <w:top w:val="single" w:color="auto" w:sz="4" w:space="0"/>
              <w:left w:val="single" w:color="auto" w:sz="4" w:space="0"/>
              <w:bottom w:val="single" w:color="auto" w:sz="4" w:space="0"/>
              <w:right w:val="single" w:color="auto" w:sz="4" w:space="0"/>
            </w:tcBorders>
            <w:vAlign w:val="center"/>
          </w:tcPr>
          <w:p w14:paraId="4DFBBA36">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820" w:type="dxa"/>
            <w:tcBorders>
              <w:top w:val="single" w:color="auto" w:sz="4" w:space="0"/>
              <w:left w:val="single" w:color="auto" w:sz="4" w:space="0"/>
              <w:bottom w:val="single" w:color="auto" w:sz="4" w:space="0"/>
              <w:right w:val="single" w:color="auto" w:sz="4" w:space="0"/>
            </w:tcBorders>
            <w:vAlign w:val="center"/>
          </w:tcPr>
          <w:p w14:paraId="0295E5DF">
            <w:pPr>
              <w:widowControl/>
              <w:spacing w:line="240" w:lineRule="atLeast"/>
              <w:jc w:val="center"/>
              <w:rPr>
                <w:rFonts w:ascii="宋体" w:hAnsi="宋体" w:cs="宋体"/>
                <w:color w:val="auto"/>
                <w:szCs w:val="21"/>
                <w:highlight w:val="none"/>
              </w:rPr>
            </w:pPr>
            <w:r>
              <w:rPr>
                <w:rFonts w:hint="eastAsia" w:ascii="宋体" w:hAnsi="宋体"/>
                <w:color w:val="auto"/>
                <w:highlight w:val="none"/>
              </w:rPr>
              <w:t>A4彩色单功能便携式喷墨打印机</w:t>
            </w:r>
          </w:p>
        </w:tc>
        <w:tc>
          <w:tcPr>
            <w:tcW w:w="931" w:type="dxa"/>
            <w:gridSpan w:val="2"/>
            <w:tcBorders>
              <w:top w:val="single" w:color="auto" w:sz="4" w:space="0"/>
              <w:left w:val="single" w:color="auto" w:sz="4" w:space="0"/>
              <w:bottom w:val="single" w:color="auto" w:sz="4" w:space="0"/>
              <w:right w:val="single" w:color="auto" w:sz="4" w:space="0"/>
            </w:tcBorders>
            <w:vAlign w:val="center"/>
          </w:tcPr>
          <w:p w14:paraId="46221AA4">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制造商</w:t>
            </w:r>
          </w:p>
        </w:tc>
        <w:tc>
          <w:tcPr>
            <w:tcW w:w="1427" w:type="dxa"/>
            <w:gridSpan w:val="2"/>
            <w:tcBorders>
              <w:top w:val="single" w:color="auto" w:sz="4" w:space="0"/>
              <w:left w:val="single" w:color="auto" w:sz="4" w:space="0"/>
              <w:bottom w:val="single" w:color="auto" w:sz="4" w:space="0"/>
              <w:right w:val="single" w:color="auto" w:sz="4" w:space="0"/>
            </w:tcBorders>
            <w:vAlign w:val="center"/>
          </w:tcPr>
          <w:p w14:paraId="06B7FCCE">
            <w:pPr>
              <w:widowControl/>
              <w:spacing w:line="240" w:lineRule="atLeast"/>
              <w:jc w:val="center"/>
              <w:rPr>
                <w:rFonts w:ascii="宋体" w:hAnsi="宋体" w:cs="宋体"/>
                <w:color w:val="auto"/>
                <w:szCs w:val="21"/>
                <w:highlight w:val="none"/>
              </w:rPr>
            </w:pPr>
          </w:p>
        </w:tc>
        <w:tc>
          <w:tcPr>
            <w:tcW w:w="1179" w:type="dxa"/>
            <w:gridSpan w:val="3"/>
            <w:tcBorders>
              <w:top w:val="single" w:color="auto" w:sz="4" w:space="0"/>
              <w:left w:val="single" w:color="auto" w:sz="4" w:space="0"/>
              <w:bottom w:val="single" w:color="auto" w:sz="4" w:space="0"/>
              <w:right w:val="single" w:color="auto" w:sz="4" w:space="0"/>
            </w:tcBorders>
            <w:vAlign w:val="center"/>
          </w:tcPr>
          <w:p w14:paraId="126120BA">
            <w:pPr>
              <w:widowControl/>
              <w:spacing w:line="240" w:lineRule="atLeast"/>
              <w:jc w:val="center"/>
              <w:rPr>
                <w:rFonts w:ascii="宋体" w:hAnsi="宋体" w:cs="宋体"/>
                <w:color w:val="auto"/>
                <w:szCs w:val="21"/>
                <w:highlight w:val="none"/>
              </w:rPr>
            </w:pPr>
            <w:r>
              <w:rPr>
                <w:rFonts w:hint="eastAsia" w:ascii="宋体" w:hAnsi="宋体" w:cs="宋体"/>
                <w:color w:val="auto"/>
                <w:kern w:val="0"/>
                <w:szCs w:val="21"/>
                <w:highlight w:val="none"/>
              </w:rPr>
              <w:t>型号规格</w:t>
            </w:r>
          </w:p>
        </w:tc>
        <w:tc>
          <w:tcPr>
            <w:tcW w:w="1670" w:type="dxa"/>
            <w:tcBorders>
              <w:top w:val="single" w:color="auto" w:sz="4" w:space="0"/>
              <w:left w:val="single" w:color="auto" w:sz="4" w:space="0"/>
              <w:bottom w:val="single" w:color="auto" w:sz="4" w:space="0"/>
              <w:right w:val="single" w:color="auto" w:sz="4" w:space="0"/>
            </w:tcBorders>
            <w:vAlign w:val="center"/>
          </w:tcPr>
          <w:p w14:paraId="1F6A611E">
            <w:pPr>
              <w:widowControl/>
              <w:spacing w:line="240" w:lineRule="atLeast"/>
              <w:jc w:val="center"/>
              <w:rPr>
                <w:rFonts w:ascii="宋体" w:hAnsi="宋体" w:cs="宋体"/>
                <w:color w:val="auto"/>
                <w:szCs w:val="21"/>
                <w:highlight w:val="none"/>
              </w:rPr>
            </w:pPr>
          </w:p>
        </w:tc>
      </w:tr>
      <w:tr w14:paraId="692E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744" w:type="dxa"/>
            <w:gridSpan w:val="11"/>
            <w:tcBorders>
              <w:top w:val="single" w:color="auto" w:sz="4" w:space="0"/>
              <w:left w:val="single" w:color="auto" w:sz="4" w:space="0"/>
              <w:bottom w:val="single" w:color="auto" w:sz="4" w:space="0"/>
              <w:right w:val="single" w:color="auto" w:sz="4" w:space="0"/>
            </w:tcBorders>
            <w:vAlign w:val="center"/>
          </w:tcPr>
          <w:p w14:paraId="20085046">
            <w:pPr>
              <w:rPr>
                <w:rFonts w:ascii="宋体" w:hAnsi="宋体"/>
                <w:color w:val="auto"/>
                <w:highlight w:val="none"/>
              </w:rPr>
            </w:pPr>
            <w:r>
              <w:rPr>
                <w:rFonts w:hint="eastAsia" w:ascii="宋体" w:hAnsi="宋体"/>
                <w:color w:val="auto"/>
                <w:highlight w:val="none"/>
              </w:rPr>
              <w:t>详细性能说明</w:t>
            </w:r>
          </w:p>
          <w:p w14:paraId="38CB537E">
            <w:pPr>
              <w:widowControl/>
              <w:spacing w:line="240" w:lineRule="atLeast"/>
              <w:jc w:val="left"/>
              <w:rPr>
                <w:rFonts w:ascii="宋体" w:hAnsi="宋体" w:cs="宋体"/>
                <w:color w:val="auto"/>
                <w:szCs w:val="21"/>
                <w:highlight w:val="none"/>
              </w:rPr>
            </w:pPr>
          </w:p>
        </w:tc>
      </w:tr>
      <w:tr w14:paraId="1011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684" w:type="dxa"/>
            <w:tcBorders>
              <w:top w:val="single" w:color="auto" w:sz="4" w:space="0"/>
              <w:left w:val="single" w:color="auto" w:sz="4" w:space="0"/>
              <w:bottom w:val="single" w:color="auto" w:sz="4" w:space="0"/>
              <w:right w:val="single" w:color="auto" w:sz="4" w:space="0"/>
            </w:tcBorders>
            <w:vAlign w:val="center"/>
          </w:tcPr>
          <w:p w14:paraId="33FCC278">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033" w:type="dxa"/>
            <w:tcBorders>
              <w:top w:val="single" w:color="auto" w:sz="4" w:space="0"/>
              <w:left w:val="single" w:color="auto" w:sz="4" w:space="0"/>
              <w:bottom w:val="single" w:color="auto" w:sz="4" w:space="0"/>
              <w:right w:val="single" w:color="auto" w:sz="4" w:space="0"/>
            </w:tcBorders>
            <w:vAlign w:val="center"/>
          </w:tcPr>
          <w:p w14:paraId="1D019D27">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货物名称</w:t>
            </w:r>
          </w:p>
        </w:tc>
        <w:tc>
          <w:tcPr>
            <w:tcW w:w="1820" w:type="dxa"/>
            <w:tcBorders>
              <w:top w:val="single" w:color="auto" w:sz="4" w:space="0"/>
              <w:left w:val="single" w:color="auto" w:sz="4" w:space="0"/>
              <w:bottom w:val="single" w:color="auto" w:sz="4" w:space="0"/>
              <w:right w:val="single" w:color="auto" w:sz="4" w:space="0"/>
            </w:tcBorders>
            <w:vAlign w:val="center"/>
          </w:tcPr>
          <w:p w14:paraId="42FD25AA">
            <w:pPr>
              <w:widowControl/>
              <w:spacing w:line="240" w:lineRule="atLeast"/>
              <w:jc w:val="center"/>
              <w:rPr>
                <w:rFonts w:ascii="宋体" w:hAnsi="宋体" w:cs="宋体"/>
                <w:color w:val="auto"/>
                <w:szCs w:val="21"/>
                <w:highlight w:val="none"/>
              </w:rPr>
            </w:pPr>
            <w:r>
              <w:rPr>
                <w:rFonts w:hint="eastAsia" w:ascii="宋体" w:hAnsi="宋体"/>
                <w:color w:val="auto"/>
                <w:highlight w:val="none"/>
              </w:rPr>
              <w:t>A3彩色单功能打印机</w:t>
            </w:r>
          </w:p>
        </w:tc>
        <w:tc>
          <w:tcPr>
            <w:tcW w:w="931" w:type="dxa"/>
            <w:gridSpan w:val="2"/>
            <w:tcBorders>
              <w:top w:val="single" w:color="auto" w:sz="4" w:space="0"/>
              <w:left w:val="single" w:color="auto" w:sz="4" w:space="0"/>
              <w:bottom w:val="single" w:color="auto" w:sz="4" w:space="0"/>
              <w:right w:val="single" w:color="auto" w:sz="4" w:space="0"/>
            </w:tcBorders>
            <w:vAlign w:val="center"/>
          </w:tcPr>
          <w:p w14:paraId="4C70B319">
            <w:pPr>
              <w:widowControl/>
              <w:spacing w:line="240" w:lineRule="atLeast"/>
              <w:jc w:val="center"/>
              <w:rPr>
                <w:rFonts w:ascii="宋体" w:hAnsi="宋体" w:cs="宋体"/>
                <w:color w:val="auto"/>
                <w:szCs w:val="21"/>
                <w:highlight w:val="none"/>
              </w:rPr>
            </w:pPr>
            <w:r>
              <w:rPr>
                <w:rFonts w:hint="eastAsia" w:ascii="宋体" w:hAnsi="宋体" w:cs="宋体"/>
                <w:color w:val="auto"/>
                <w:szCs w:val="21"/>
                <w:highlight w:val="none"/>
              </w:rPr>
              <w:t>制造商</w:t>
            </w:r>
          </w:p>
        </w:tc>
        <w:tc>
          <w:tcPr>
            <w:tcW w:w="1427" w:type="dxa"/>
            <w:gridSpan w:val="2"/>
            <w:tcBorders>
              <w:top w:val="single" w:color="auto" w:sz="4" w:space="0"/>
              <w:left w:val="single" w:color="auto" w:sz="4" w:space="0"/>
              <w:bottom w:val="single" w:color="auto" w:sz="4" w:space="0"/>
              <w:right w:val="single" w:color="auto" w:sz="4" w:space="0"/>
            </w:tcBorders>
            <w:vAlign w:val="center"/>
          </w:tcPr>
          <w:p w14:paraId="242025AD">
            <w:pPr>
              <w:widowControl/>
              <w:spacing w:line="240" w:lineRule="atLeast"/>
              <w:jc w:val="center"/>
              <w:rPr>
                <w:rFonts w:ascii="宋体" w:hAnsi="宋体" w:cs="宋体"/>
                <w:color w:val="auto"/>
                <w:szCs w:val="21"/>
                <w:highlight w:val="none"/>
              </w:rPr>
            </w:pPr>
          </w:p>
        </w:tc>
        <w:tc>
          <w:tcPr>
            <w:tcW w:w="1179" w:type="dxa"/>
            <w:gridSpan w:val="3"/>
            <w:tcBorders>
              <w:top w:val="single" w:color="auto" w:sz="4" w:space="0"/>
              <w:left w:val="single" w:color="auto" w:sz="4" w:space="0"/>
              <w:bottom w:val="single" w:color="auto" w:sz="4" w:space="0"/>
              <w:right w:val="single" w:color="auto" w:sz="4" w:space="0"/>
            </w:tcBorders>
            <w:vAlign w:val="center"/>
          </w:tcPr>
          <w:p w14:paraId="02BD2039">
            <w:pPr>
              <w:widowControl/>
              <w:spacing w:line="240" w:lineRule="atLeast"/>
              <w:jc w:val="center"/>
              <w:rPr>
                <w:rFonts w:ascii="宋体" w:hAnsi="宋体" w:cs="宋体"/>
                <w:color w:val="auto"/>
                <w:szCs w:val="21"/>
                <w:highlight w:val="none"/>
              </w:rPr>
            </w:pPr>
            <w:r>
              <w:rPr>
                <w:rFonts w:hint="eastAsia" w:ascii="宋体" w:hAnsi="宋体" w:cs="宋体"/>
                <w:color w:val="auto"/>
                <w:kern w:val="0"/>
                <w:szCs w:val="21"/>
                <w:highlight w:val="none"/>
              </w:rPr>
              <w:t>型号规格</w:t>
            </w:r>
          </w:p>
        </w:tc>
        <w:tc>
          <w:tcPr>
            <w:tcW w:w="1670" w:type="dxa"/>
            <w:tcBorders>
              <w:top w:val="single" w:color="auto" w:sz="4" w:space="0"/>
              <w:left w:val="single" w:color="auto" w:sz="4" w:space="0"/>
              <w:bottom w:val="single" w:color="auto" w:sz="4" w:space="0"/>
              <w:right w:val="single" w:color="auto" w:sz="4" w:space="0"/>
            </w:tcBorders>
            <w:vAlign w:val="center"/>
          </w:tcPr>
          <w:p w14:paraId="35C3AC22">
            <w:pPr>
              <w:widowControl/>
              <w:spacing w:line="240" w:lineRule="atLeast"/>
              <w:jc w:val="center"/>
              <w:rPr>
                <w:rFonts w:ascii="宋体" w:hAnsi="宋体" w:cs="宋体"/>
                <w:color w:val="auto"/>
                <w:szCs w:val="21"/>
                <w:highlight w:val="none"/>
              </w:rPr>
            </w:pPr>
          </w:p>
        </w:tc>
      </w:tr>
      <w:tr w14:paraId="7489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744" w:type="dxa"/>
            <w:gridSpan w:val="11"/>
            <w:tcBorders>
              <w:top w:val="single" w:color="auto" w:sz="4" w:space="0"/>
              <w:left w:val="single" w:color="auto" w:sz="4" w:space="0"/>
              <w:bottom w:val="single" w:color="auto" w:sz="4" w:space="0"/>
              <w:right w:val="single" w:color="auto" w:sz="4" w:space="0"/>
            </w:tcBorders>
            <w:vAlign w:val="center"/>
          </w:tcPr>
          <w:p w14:paraId="34DCD615">
            <w:pPr>
              <w:rPr>
                <w:rFonts w:ascii="宋体" w:hAnsi="宋体"/>
                <w:color w:val="auto"/>
                <w:highlight w:val="none"/>
              </w:rPr>
            </w:pPr>
            <w:r>
              <w:rPr>
                <w:rFonts w:hint="eastAsia" w:ascii="宋体" w:hAnsi="宋体"/>
                <w:color w:val="auto"/>
                <w:highlight w:val="none"/>
              </w:rPr>
              <w:t>详细性能说明</w:t>
            </w:r>
          </w:p>
          <w:p w14:paraId="02581873">
            <w:pPr>
              <w:widowControl/>
              <w:spacing w:line="240" w:lineRule="atLeast"/>
              <w:jc w:val="left"/>
              <w:rPr>
                <w:rFonts w:ascii="宋体" w:hAnsi="宋体" w:cs="宋体"/>
                <w:color w:val="auto"/>
                <w:szCs w:val="21"/>
                <w:highlight w:val="none"/>
              </w:rPr>
            </w:pPr>
          </w:p>
        </w:tc>
      </w:tr>
    </w:tbl>
    <w:p w14:paraId="4EB7823E">
      <w:pPr>
        <w:spacing w:line="360" w:lineRule="auto"/>
        <w:rPr>
          <w:rFonts w:ascii="宋体" w:hAnsi="宋体"/>
          <w:b/>
          <w:bCs/>
          <w:color w:val="auto"/>
          <w:sz w:val="24"/>
          <w:szCs w:val="24"/>
          <w:highlight w:val="none"/>
        </w:rPr>
      </w:pPr>
      <w:r>
        <w:rPr>
          <w:rFonts w:ascii="宋体" w:hAnsi="宋体"/>
          <w:b/>
          <w:bCs/>
          <w:color w:val="auto"/>
          <w:sz w:val="24"/>
          <w:szCs w:val="24"/>
          <w:highlight w:val="none"/>
        </w:rPr>
        <w:t>  </w:t>
      </w:r>
    </w:p>
    <w:p w14:paraId="76B88D9E">
      <w:pPr>
        <w:spacing w:line="360" w:lineRule="auto"/>
        <w:rPr>
          <w:rFonts w:ascii="宋体" w:hAnsi="宋体"/>
          <w:color w:val="auto"/>
          <w:sz w:val="24"/>
          <w:szCs w:val="24"/>
          <w:highlight w:val="none"/>
        </w:rPr>
      </w:pPr>
    </w:p>
    <w:p w14:paraId="66EB00F5">
      <w:pPr>
        <w:rPr>
          <w:rFonts w:ascii="宋体" w:hAnsi="宋体"/>
          <w:color w:val="auto"/>
          <w:sz w:val="24"/>
          <w:szCs w:val="24"/>
          <w:highlight w:val="none"/>
        </w:rPr>
        <w:sectPr>
          <w:pgSz w:w="11906" w:h="16838"/>
          <w:pgMar w:top="1440" w:right="1800" w:bottom="1440" w:left="1800" w:header="851" w:footer="992" w:gutter="0"/>
          <w:cols w:space="720" w:num="1"/>
          <w:docGrid w:type="lines" w:linePitch="312" w:charSpace="0"/>
        </w:sectPr>
      </w:pPr>
    </w:p>
    <w:p w14:paraId="28E6F69E">
      <w:pPr>
        <w:rPr>
          <w:rFonts w:ascii="宋体" w:hAnsi="宋体"/>
          <w:b/>
          <w:bCs/>
          <w:color w:val="auto"/>
          <w:sz w:val="24"/>
          <w:szCs w:val="24"/>
          <w:highlight w:val="none"/>
        </w:rPr>
      </w:pPr>
      <w:r>
        <w:rPr>
          <w:rFonts w:hint="eastAsia" w:ascii="宋体" w:hAnsi="宋体"/>
          <w:b/>
          <w:bCs/>
          <w:color w:val="auto"/>
          <w:sz w:val="24"/>
          <w:szCs w:val="24"/>
          <w:highlight w:val="none"/>
        </w:rPr>
        <w:t>附件</w:t>
      </w:r>
      <w:r>
        <w:rPr>
          <w:rFonts w:ascii="宋体" w:hAnsi="宋体"/>
          <w:b/>
          <w:bCs/>
          <w:color w:val="auto"/>
          <w:sz w:val="24"/>
          <w:szCs w:val="24"/>
          <w:highlight w:val="none"/>
        </w:rPr>
        <w:t>2</w:t>
      </w:r>
      <w:r>
        <w:rPr>
          <w:rFonts w:hint="eastAsia" w:ascii="宋体" w:hAnsi="宋体"/>
          <w:b/>
          <w:bCs/>
          <w:color w:val="auto"/>
          <w:sz w:val="24"/>
          <w:szCs w:val="24"/>
          <w:highlight w:val="none"/>
        </w:rPr>
        <w:t>：服务考核细则</w:t>
      </w:r>
    </w:p>
    <w:p w14:paraId="68FB0315">
      <w:pPr>
        <w:rPr>
          <w:rFonts w:ascii="宋体" w:hAnsi="宋体"/>
          <w:color w:val="auto"/>
          <w:sz w:val="24"/>
          <w:szCs w:val="24"/>
          <w:highlight w:val="none"/>
        </w:rPr>
      </w:pPr>
    </w:p>
    <w:p w14:paraId="07CDAD6E">
      <w:pPr>
        <w:ind w:firstLine="480" w:firstLineChars="200"/>
        <w:rPr>
          <w:rFonts w:ascii="宋体" w:hAnsi="宋体"/>
          <w:color w:val="auto"/>
          <w:sz w:val="24"/>
          <w:szCs w:val="24"/>
          <w:highlight w:val="none"/>
        </w:rPr>
      </w:pPr>
      <w:r>
        <w:rPr>
          <w:rFonts w:hint="eastAsia" w:ascii="宋体" w:hAnsi="宋体"/>
          <w:color w:val="auto"/>
          <w:sz w:val="24"/>
          <w:szCs w:val="24"/>
          <w:highlight w:val="none"/>
        </w:rPr>
        <w:t>保修期间，买方将定期对最终用户进行回访，跟踪了解设备的使用情况及卖方的售后服务质量，依照以上的服务承诺，制定以下考核细则。</w:t>
      </w:r>
    </w:p>
    <w:p w14:paraId="0BDB946C">
      <w:pPr>
        <w:ind w:firstLine="480" w:firstLineChars="200"/>
        <w:rPr>
          <w:rFonts w:ascii="宋体" w:hAnsi="宋体"/>
          <w:color w:val="auto"/>
          <w:sz w:val="24"/>
          <w:szCs w:val="24"/>
          <w:highlight w:val="none"/>
        </w:rPr>
      </w:pPr>
      <w:r>
        <w:rPr>
          <w:rFonts w:hint="eastAsia" w:ascii="宋体" w:hAnsi="宋体"/>
          <w:color w:val="auto"/>
          <w:sz w:val="24"/>
          <w:szCs w:val="24"/>
          <w:highlight w:val="none"/>
        </w:rPr>
        <w:t>1、合同期内每月考核一次；</w:t>
      </w:r>
    </w:p>
    <w:p w14:paraId="1DEE18DF">
      <w:pPr>
        <w:ind w:firstLine="480" w:firstLineChars="200"/>
        <w:rPr>
          <w:rFonts w:ascii="宋体" w:hAnsi="宋体"/>
          <w:color w:val="auto"/>
          <w:sz w:val="24"/>
          <w:szCs w:val="24"/>
          <w:highlight w:val="none"/>
        </w:rPr>
      </w:pPr>
      <w:r>
        <w:rPr>
          <w:rFonts w:hint="eastAsia" w:ascii="宋体" w:hAnsi="宋体"/>
          <w:color w:val="auto"/>
          <w:sz w:val="24"/>
          <w:szCs w:val="24"/>
          <w:highlight w:val="none"/>
        </w:rPr>
        <w:t>2、每月10日前，买方将上月考核结果及涉及扣费的数据发给卖方核对，卖方在不影响到客户体验的情况下可以对考核结果提出异议，并要求在每月15日前书面反馈，逾期视为对买方的考核结果无异议。</w:t>
      </w:r>
    </w:p>
    <w:p w14:paraId="5EBCF5B6">
      <w:pPr>
        <w:ind w:firstLine="480" w:firstLineChars="200"/>
        <w:rPr>
          <w:rFonts w:ascii="宋体" w:hAnsi="宋体"/>
          <w:color w:val="auto"/>
          <w:sz w:val="24"/>
          <w:szCs w:val="24"/>
          <w:highlight w:val="none"/>
        </w:rPr>
      </w:pPr>
      <w:r>
        <w:rPr>
          <w:rFonts w:hint="eastAsia" w:ascii="宋体" w:hAnsi="宋体"/>
          <w:color w:val="auto"/>
          <w:sz w:val="24"/>
          <w:szCs w:val="24"/>
          <w:highlight w:val="none"/>
        </w:rPr>
        <w:t>3、买方有权从应付但未付给卖方的任一笔款项中，扣除考核结果中列明的违约金。</w:t>
      </w:r>
    </w:p>
    <w:p w14:paraId="4BAC0566">
      <w:pPr>
        <w:ind w:firstLine="480" w:firstLineChars="200"/>
        <w:rPr>
          <w:rFonts w:ascii="宋体" w:hAnsi="宋体"/>
          <w:color w:val="auto"/>
          <w:sz w:val="24"/>
          <w:szCs w:val="24"/>
          <w:highlight w:val="none"/>
        </w:rPr>
      </w:pPr>
      <w:r>
        <w:rPr>
          <w:rFonts w:hint="eastAsia" w:ascii="宋体" w:hAnsi="宋体"/>
          <w:color w:val="auto"/>
          <w:sz w:val="24"/>
          <w:szCs w:val="24"/>
          <w:highlight w:val="none"/>
        </w:rPr>
        <w:t>4、具体违约金标准如下：</w:t>
      </w:r>
    </w:p>
    <w:p w14:paraId="0898937C">
      <w:pPr>
        <w:ind w:firstLine="480" w:firstLineChars="200"/>
        <w:rPr>
          <w:rFonts w:ascii="宋体" w:hAnsi="宋体"/>
          <w:color w:val="auto"/>
          <w:sz w:val="24"/>
          <w:szCs w:val="24"/>
          <w:highlight w:val="none"/>
        </w:rPr>
      </w:pPr>
      <w:r>
        <w:rPr>
          <w:rFonts w:ascii="宋体" w:hAnsi="宋体"/>
          <w:color w:val="auto"/>
          <w:sz w:val="24"/>
          <w:szCs w:val="24"/>
          <w:highlight w:val="none"/>
        </w:rPr>
        <w:t>   </w:t>
      </w:r>
    </w:p>
    <w:tbl>
      <w:tblPr>
        <w:tblStyle w:val="13"/>
        <w:tblW w:w="107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85"/>
        <w:gridCol w:w="1068"/>
        <w:gridCol w:w="1067"/>
        <w:gridCol w:w="936"/>
        <w:gridCol w:w="3257"/>
        <w:gridCol w:w="1787"/>
        <w:gridCol w:w="2139"/>
      </w:tblGrid>
      <w:tr w14:paraId="4C169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4981599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1068" w:type="dxa"/>
          </w:tcPr>
          <w:p w14:paraId="4386C745">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考核项目</w:t>
            </w:r>
          </w:p>
        </w:tc>
        <w:tc>
          <w:tcPr>
            <w:tcW w:w="1067" w:type="dxa"/>
          </w:tcPr>
          <w:p w14:paraId="26C38F6E">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考核说明</w:t>
            </w:r>
          </w:p>
        </w:tc>
        <w:tc>
          <w:tcPr>
            <w:tcW w:w="936" w:type="dxa"/>
          </w:tcPr>
          <w:p w14:paraId="2F7DB5E9">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涉及服务环节</w:t>
            </w:r>
          </w:p>
        </w:tc>
        <w:tc>
          <w:tcPr>
            <w:tcW w:w="3257" w:type="dxa"/>
          </w:tcPr>
          <w:p w14:paraId="242F0EC5">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供应商服务要求</w:t>
            </w:r>
          </w:p>
        </w:tc>
        <w:tc>
          <w:tcPr>
            <w:tcW w:w="1787" w:type="dxa"/>
            <w:noWrap/>
          </w:tcPr>
          <w:p w14:paraId="4411A56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考核标准</w:t>
            </w:r>
          </w:p>
        </w:tc>
        <w:tc>
          <w:tcPr>
            <w:tcW w:w="2139" w:type="dxa"/>
            <w:noWrap/>
          </w:tcPr>
          <w:p w14:paraId="2074189B">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考核金额</w:t>
            </w:r>
          </w:p>
        </w:tc>
      </w:tr>
      <w:tr w14:paraId="22F08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485" w:type="dxa"/>
            <w:noWrap/>
          </w:tcPr>
          <w:p w14:paraId="7333FBC8">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1068" w:type="dxa"/>
            <w:vMerge w:val="restart"/>
          </w:tcPr>
          <w:p w14:paraId="7DA58B62">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服务效率</w:t>
            </w:r>
          </w:p>
        </w:tc>
        <w:tc>
          <w:tcPr>
            <w:tcW w:w="1067" w:type="dxa"/>
            <w:vMerge w:val="restart"/>
          </w:tcPr>
          <w:p w14:paraId="1F96896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1、服务响应不及时或服务时间超出约定时间，且未提前与最终用户做好沟通，或未经最终用户同意。</w:t>
            </w:r>
          </w:p>
          <w:p w14:paraId="56227FF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2、未在规定时间内解决最终用户的正当需求，最终用户要求但未提供备用机；</w:t>
            </w:r>
          </w:p>
          <w:p w14:paraId="58E1FBE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3、设备维修时超出约定时间仍未修复的；</w:t>
            </w:r>
          </w:p>
          <w:p w14:paraId="7641A0D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4、需要提供服务的设备超出一台且满足上述任一条件的，按200元/台/次考核</w:t>
            </w:r>
          </w:p>
        </w:tc>
        <w:tc>
          <w:tcPr>
            <w:tcW w:w="936" w:type="dxa"/>
          </w:tcPr>
          <w:p w14:paraId="4E10688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电话响应时效</w:t>
            </w:r>
          </w:p>
        </w:tc>
        <w:tc>
          <w:tcPr>
            <w:tcW w:w="3257" w:type="dxa"/>
          </w:tcPr>
          <w:p w14:paraId="05E12A2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收到万翔客服专员通知后，在15分钟内联系客户约定上门时间；并及时将约定时间反馈给万翔客服专员。</w:t>
            </w:r>
          </w:p>
        </w:tc>
        <w:tc>
          <w:tcPr>
            <w:tcW w:w="1787" w:type="dxa"/>
          </w:tcPr>
          <w:p w14:paraId="35E488C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万翔客服专员报单后15分钟内</w:t>
            </w:r>
          </w:p>
        </w:tc>
        <w:tc>
          <w:tcPr>
            <w:tcW w:w="2139" w:type="dxa"/>
          </w:tcPr>
          <w:p w14:paraId="48A2162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4556B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1D647ACE">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68" w:type="dxa"/>
            <w:vMerge w:val="continue"/>
          </w:tcPr>
          <w:p w14:paraId="6A227655">
            <w:pPr>
              <w:widowControl/>
              <w:jc w:val="left"/>
              <w:rPr>
                <w:rFonts w:ascii="宋体" w:hAnsi="宋体" w:cs="宋体"/>
                <w:color w:val="auto"/>
                <w:kern w:val="0"/>
                <w:sz w:val="18"/>
                <w:szCs w:val="18"/>
                <w:highlight w:val="none"/>
              </w:rPr>
            </w:pPr>
          </w:p>
        </w:tc>
        <w:tc>
          <w:tcPr>
            <w:tcW w:w="1067" w:type="dxa"/>
            <w:vMerge w:val="continue"/>
          </w:tcPr>
          <w:p w14:paraId="7345F752">
            <w:pPr>
              <w:widowControl/>
              <w:jc w:val="left"/>
              <w:rPr>
                <w:rFonts w:ascii="宋体" w:hAnsi="宋体" w:cs="宋体"/>
                <w:color w:val="auto"/>
                <w:kern w:val="0"/>
                <w:sz w:val="18"/>
                <w:szCs w:val="18"/>
                <w:highlight w:val="none"/>
              </w:rPr>
            </w:pPr>
          </w:p>
        </w:tc>
        <w:tc>
          <w:tcPr>
            <w:tcW w:w="936" w:type="dxa"/>
            <w:vMerge w:val="restart"/>
          </w:tcPr>
          <w:p w14:paraId="64D829C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上门服务时效</w:t>
            </w:r>
          </w:p>
        </w:tc>
        <w:tc>
          <w:tcPr>
            <w:tcW w:w="3257" w:type="dxa"/>
            <w:vMerge w:val="restart"/>
          </w:tcPr>
          <w:p w14:paraId="009F23F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按与客户约定时间上门服务；</w:t>
            </w:r>
          </w:p>
          <w:p w14:paraId="6AE5176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如特殊情况不能按约定时间上门，必须提前联系最终用户且征得最终用户的同意，同时重新预约上门服务时间，并务必保证按此约定时间上门。</w:t>
            </w:r>
          </w:p>
        </w:tc>
        <w:tc>
          <w:tcPr>
            <w:tcW w:w="1787" w:type="dxa"/>
          </w:tcPr>
          <w:p w14:paraId="2A8FB15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万翔客服专员报单后1个工作小时</w:t>
            </w:r>
          </w:p>
        </w:tc>
        <w:tc>
          <w:tcPr>
            <w:tcW w:w="2139" w:type="dxa"/>
          </w:tcPr>
          <w:p w14:paraId="2C6C407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213E6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jc w:val="center"/>
        </w:trPr>
        <w:tc>
          <w:tcPr>
            <w:tcW w:w="485" w:type="dxa"/>
            <w:noWrap/>
          </w:tcPr>
          <w:p w14:paraId="1D664873">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068" w:type="dxa"/>
            <w:vMerge w:val="continue"/>
          </w:tcPr>
          <w:p w14:paraId="567447F7">
            <w:pPr>
              <w:widowControl/>
              <w:jc w:val="left"/>
              <w:rPr>
                <w:rFonts w:ascii="宋体" w:hAnsi="宋体" w:cs="宋体"/>
                <w:color w:val="auto"/>
                <w:kern w:val="0"/>
                <w:sz w:val="18"/>
                <w:szCs w:val="18"/>
                <w:highlight w:val="none"/>
              </w:rPr>
            </w:pPr>
          </w:p>
        </w:tc>
        <w:tc>
          <w:tcPr>
            <w:tcW w:w="1067" w:type="dxa"/>
            <w:vMerge w:val="continue"/>
          </w:tcPr>
          <w:p w14:paraId="02DBEB55">
            <w:pPr>
              <w:widowControl/>
              <w:jc w:val="left"/>
              <w:rPr>
                <w:rFonts w:ascii="宋体" w:hAnsi="宋体" w:cs="宋体"/>
                <w:color w:val="auto"/>
                <w:kern w:val="0"/>
                <w:sz w:val="18"/>
                <w:szCs w:val="18"/>
                <w:highlight w:val="none"/>
              </w:rPr>
            </w:pPr>
          </w:p>
        </w:tc>
        <w:tc>
          <w:tcPr>
            <w:tcW w:w="936" w:type="dxa"/>
            <w:vMerge w:val="continue"/>
          </w:tcPr>
          <w:p w14:paraId="09A7B6D4">
            <w:pPr>
              <w:widowControl/>
              <w:jc w:val="left"/>
              <w:rPr>
                <w:rFonts w:ascii="宋体" w:hAnsi="宋体" w:cs="宋体"/>
                <w:color w:val="auto"/>
                <w:kern w:val="0"/>
                <w:sz w:val="18"/>
                <w:szCs w:val="18"/>
                <w:highlight w:val="none"/>
              </w:rPr>
            </w:pPr>
          </w:p>
        </w:tc>
        <w:tc>
          <w:tcPr>
            <w:tcW w:w="3257" w:type="dxa"/>
            <w:vMerge w:val="continue"/>
          </w:tcPr>
          <w:p w14:paraId="45170726">
            <w:pPr>
              <w:widowControl/>
              <w:jc w:val="left"/>
              <w:rPr>
                <w:rFonts w:ascii="宋体" w:hAnsi="宋体" w:cs="宋体"/>
                <w:color w:val="auto"/>
                <w:kern w:val="0"/>
                <w:sz w:val="18"/>
                <w:szCs w:val="18"/>
                <w:highlight w:val="none"/>
              </w:rPr>
            </w:pPr>
          </w:p>
        </w:tc>
        <w:tc>
          <w:tcPr>
            <w:tcW w:w="1787" w:type="dxa"/>
          </w:tcPr>
          <w:p w14:paraId="08D5E62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因</w:t>
            </w:r>
            <w:r>
              <w:rPr>
                <w:rFonts w:hint="eastAsia" w:ascii="宋体" w:hAnsi="宋体" w:cs="宋体"/>
                <w:b/>
                <w:bCs/>
                <w:color w:val="auto"/>
                <w:kern w:val="0"/>
                <w:sz w:val="18"/>
                <w:szCs w:val="18"/>
                <w:highlight w:val="none"/>
              </w:rPr>
              <w:t>客户原因</w:t>
            </w:r>
            <w:r>
              <w:rPr>
                <w:rFonts w:hint="eastAsia" w:ascii="宋体" w:hAnsi="宋体" w:cs="宋体"/>
                <w:color w:val="auto"/>
                <w:kern w:val="0"/>
                <w:sz w:val="18"/>
                <w:szCs w:val="18"/>
                <w:highlight w:val="none"/>
              </w:rPr>
              <w:t>需延后上门时间并另外约定上门时间，需在承诺的时间内达到</w:t>
            </w:r>
          </w:p>
        </w:tc>
        <w:tc>
          <w:tcPr>
            <w:tcW w:w="2139" w:type="dxa"/>
          </w:tcPr>
          <w:p w14:paraId="26CF6FB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62A70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485" w:type="dxa"/>
            <w:noWrap/>
          </w:tcPr>
          <w:p w14:paraId="3D80E298">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68" w:type="dxa"/>
            <w:vMerge w:val="continue"/>
          </w:tcPr>
          <w:p w14:paraId="49770D68">
            <w:pPr>
              <w:widowControl/>
              <w:jc w:val="left"/>
              <w:rPr>
                <w:rFonts w:ascii="宋体" w:hAnsi="宋体" w:cs="宋体"/>
                <w:color w:val="auto"/>
                <w:kern w:val="0"/>
                <w:sz w:val="18"/>
                <w:szCs w:val="18"/>
                <w:highlight w:val="none"/>
              </w:rPr>
            </w:pPr>
          </w:p>
        </w:tc>
        <w:tc>
          <w:tcPr>
            <w:tcW w:w="1067" w:type="dxa"/>
            <w:vMerge w:val="continue"/>
          </w:tcPr>
          <w:p w14:paraId="4605DE0E">
            <w:pPr>
              <w:widowControl/>
              <w:jc w:val="left"/>
              <w:rPr>
                <w:rFonts w:ascii="宋体" w:hAnsi="宋体" w:cs="宋体"/>
                <w:color w:val="auto"/>
                <w:kern w:val="0"/>
                <w:sz w:val="18"/>
                <w:szCs w:val="18"/>
                <w:highlight w:val="none"/>
              </w:rPr>
            </w:pPr>
          </w:p>
        </w:tc>
        <w:tc>
          <w:tcPr>
            <w:tcW w:w="936" w:type="dxa"/>
            <w:vMerge w:val="restart"/>
          </w:tcPr>
          <w:p w14:paraId="2ED90F9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维修时效</w:t>
            </w:r>
          </w:p>
        </w:tc>
        <w:tc>
          <w:tcPr>
            <w:tcW w:w="3257" w:type="dxa"/>
          </w:tcPr>
          <w:p w14:paraId="555272A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上门检测后需现场向最终用户说明故障情况并告知解决方案、如需调拨维修配件，需要告知最终用户配件更换时效并征得客户同意</w:t>
            </w:r>
          </w:p>
        </w:tc>
        <w:tc>
          <w:tcPr>
            <w:tcW w:w="1787" w:type="dxa"/>
          </w:tcPr>
          <w:p w14:paraId="26EF4F2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在承诺的时间内完成服务</w:t>
            </w:r>
          </w:p>
        </w:tc>
        <w:tc>
          <w:tcPr>
            <w:tcW w:w="2139" w:type="dxa"/>
          </w:tcPr>
          <w:p w14:paraId="2B7BFC6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0B952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485" w:type="dxa"/>
            <w:noWrap/>
          </w:tcPr>
          <w:p w14:paraId="129FF4E2">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68" w:type="dxa"/>
            <w:vMerge w:val="continue"/>
          </w:tcPr>
          <w:p w14:paraId="1CC95713">
            <w:pPr>
              <w:widowControl/>
              <w:jc w:val="left"/>
              <w:rPr>
                <w:rFonts w:ascii="宋体" w:hAnsi="宋体" w:cs="宋体"/>
                <w:color w:val="auto"/>
                <w:kern w:val="0"/>
                <w:sz w:val="18"/>
                <w:szCs w:val="18"/>
                <w:highlight w:val="none"/>
              </w:rPr>
            </w:pPr>
          </w:p>
        </w:tc>
        <w:tc>
          <w:tcPr>
            <w:tcW w:w="1067" w:type="dxa"/>
            <w:vMerge w:val="continue"/>
          </w:tcPr>
          <w:p w14:paraId="48BB4FBF">
            <w:pPr>
              <w:widowControl/>
              <w:jc w:val="left"/>
              <w:rPr>
                <w:rFonts w:ascii="宋体" w:hAnsi="宋体" w:cs="宋体"/>
                <w:color w:val="auto"/>
                <w:kern w:val="0"/>
                <w:sz w:val="18"/>
                <w:szCs w:val="18"/>
                <w:highlight w:val="none"/>
              </w:rPr>
            </w:pPr>
          </w:p>
        </w:tc>
        <w:tc>
          <w:tcPr>
            <w:tcW w:w="936" w:type="dxa"/>
            <w:vMerge w:val="continue"/>
          </w:tcPr>
          <w:p w14:paraId="3E1883D9">
            <w:pPr>
              <w:widowControl/>
              <w:jc w:val="left"/>
              <w:rPr>
                <w:rFonts w:ascii="宋体" w:hAnsi="宋体" w:cs="宋体"/>
                <w:color w:val="auto"/>
                <w:kern w:val="0"/>
                <w:sz w:val="18"/>
                <w:szCs w:val="18"/>
                <w:highlight w:val="none"/>
              </w:rPr>
            </w:pPr>
          </w:p>
        </w:tc>
        <w:tc>
          <w:tcPr>
            <w:tcW w:w="3257" w:type="dxa"/>
          </w:tcPr>
          <w:p w14:paraId="7B2731D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1787" w:type="dxa"/>
          </w:tcPr>
          <w:p w14:paraId="2B26FA2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向客户说明情况，告知客户提供备用机和退换机的解决方案，同时告知客户服务时效，并在承诺的时间内完成相应的服务内容。</w:t>
            </w:r>
          </w:p>
        </w:tc>
        <w:tc>
          <w:tcPr>
            <w:tcW w:w="2139" w:type="dxa"/>
          </w:tcPr>
          <w:p w14:paraId="62316607">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765AD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jc w:val="center"/>
        </w:trPr>
        <w:tc>
          <w:tcPr>
            <w:tcW w:w="485" w:type="dxa"/>
            <w:noWrap/>
          </w:tcPr>
          <w:p w14:paraId="2137DBA8">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68" w:type="dxa"/>
            <w:vMerge w:val="continue"/>
          </w:tcPr>
          <w:p w14:paraId="1268D747">
            <w:pPr>
              <w:widowControl/>
              <w:jc w:val="left"/>
              <w:rPr>
                <w:rFonts w:ascii="宋体" w:hAnsi="宋体" w:cs="宋体"/>
                <w:color w:val="auto"/>
                <w:kern w:val="0"/>
                <w:sz w:val="18"/>
                <w:szCs w:val="18"/>
                <w:highlight w:val="none"/>
              </w:rPr>
            </w:pPr>
          </w:p>
        </w:tc>
        <w:tc>
          <w:tcPr>
            <w:tcW w:w="1067" w:type="dxa"/>
            <w:vMerge w:val="continue"/>
          </w:tcPr>
          <w:p w14:paraId="0C7E3764">
            <w:pPr>
              <w:widowControl/>
              <w:jc w:val="left"/>
              <w:rPr>
                <w:rFonts w:ascii="宋体" w:hAnsi="宋体" w:cs="宋体"/>
                <w:color w:val="auto"/>
                <w:kern w:val="0"/>
                <w:sz w:val="18"/>
                <w:szCs w:val="18"/>
                <w:highlight w:val="none"/>
              </w:rPr>
            </w:pPr>
          </w:p>
        </w:tc>
        <w:tc>
          <w:tcPr>
            <w:tcW w:w="936" w:type="dxa"/>
          </w:tcPr>
          <w:p w14:paraId="2D06C07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备用机提供时效</w:t>
            </w:r>
          </w:p>
        </w:tc>
        <w:tc>
          <w:tcPr>
            <w:tcW w:w="3257" w:type="dxa"/>
          </w:tcPr>
          <w:p w14:paraId="01210B5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服务商自行提供备用机，按与客户约定时间完成服务</w:t>
            </w:r>
          </w:p>
        </w:tc>
        <w:tc>
          <w:tcPr>
            <w:tcW w:w="1787" w:type="dxa"/>
          </w:tcPr>
          <w:p w14:paraId="1DC9596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客户确认使用备用机后在1个工作日内提供备机</w:t>
            </w:r>
          </w:p>
        </w:tc>
        <w:tc>
          <w:tcPr>
            <w:tcW w:w="2139" w:type="dxa"/>
          </w:tcPr>
          <w:p w14:paraId="0E05065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4CAAA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485" w:type="dxa"/>
            <w:noWrap/>
          </w:tcPr>
          <w:p w14:paraId="185886AB">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8" w:type="dxa"/>
            <w:vMerge w:val="continue"/>
          </w:tcPr>
          <w:p w14:paraId="55B273C5">
            <w:pPr>
              <w:widowControl/>
              <w:jc w:val="left"/>
              <w:rPr>
                <w:rFonts w:ascii="宋体" w:hAnsi="宋体" w:cs="宋体"/>
                <w:color w:val="auto"/>
                <w:kern w:val="0"/>
                <w:sz w:val="18"/>
                <w:szCs w:val="18"/>
                <w:highlight w:val="none"/>
              </w:rPr>
            </w:pPr>
          </w:p>
        </w:tc>
        <w:tc>
          <w:tcPr>
            <w:tcW w:w="1067" w:type="dxa"/>
            <w:vMerge w:val="continue"/>
          </w:tcPr>
          <w:p w14:paraId="4026373B">
            <w:pPr>
              <w:widowControl/>
              <w:jc w:val="left"/>
              <w:rPr>
                <w:rFonts w:ascii="宋体" w:hAnsi="宋体" w:cs="宋体"/>
                <w:color w:val="auto"/>
                <w:kern w:val="0"/>
                <w:sz w:val="18"/>
                <w:szCs w:val="18"/>
                <w:highlight w:val="none"/>
              </w:rPr>
            </w:pPr>
          </w:p>
        </w:tc>
        <w:tc>
          <w:tcPr>
            <w:tcW w:w="936" w:type="dxa"/>
            <w:vMerge w:val="restart"/>
          </w:tcPr>
          <w:p w14:paraId="15F986B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换机服务时效</w:t>
            </w:r>
          </w:p>
        </w:tc>
        <w:tc>
          <w:tcPr>
            <w:tcW w:w="3257" w:type="dxa"/>
          </w:tcPr>
          <w:p w14:paraId="72ADD3B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确认换机后，在5个工作日内完成换机，如果超出5个工作日必须征得最终用户的同意，并在承诺的时间内完成服务</w:t>
            </w:r>
          </w:p>
        </w:tc>
        <w:tc>
          <w:tcPr>
            <w:tcW w:w="1787" w:type="dxa"/>
          </w:tcPr>
          <w:p w14:paraId="2E50ABE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在承诺的时间内完成换机。</w:t>
            </w:r>
          </w:p>
        </w:tc>
        <w:tc>
          <w:tcPr>
            <w:tcW w:w="2139" w:type="dxa"/>
          </w:tcPr>
          <w:p w14:paraId="3825662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4E30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jc w:val="center"/>
        </w:trPr>
        <w:tc>
          <w:tcPr>
            <w:tcW w:w="485" w:type="dxa"/>
            <w:noWrap/>
          </w:tcPr>
          <w:p w14:paraId="4AE8E3F7">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8" w:type="dxa"/>
            <w:vMerge w:val="continue"/>
          </w:tcPr>
          <w:p w14:paraId="45984876">
            <w:pPr>
              <w:widowControl/>
              <w:jc w:val="left"/>
              <w:rPr>
                <w:rFonts w:ascii="宋体" w:hAnsi="宋体" w:cs="宋体"/>
                <w:color w:val="auto"/>
                <w:kern w:val="0"/>
                <w:sz w:val="18"/>
                <w:szCs w:val="18"/>
                <w:highlight w:val="none"/>
              </w:rPr>
            </w:pPr>
          </w:p>
        </w:tc>
        <w:tc>
          <w:tcPr>
            <w:tcW w:w="1067" w:type="dxa"/>
            <w:vMerge w:val="continue"/>
          </w:tcPr>
          <w:p w14:paraId="0A81A81F">
            <w:pPr>
              <w:widowControl/>
              <w:jc w:val="left"/>
              <w:rPr>
                <w:rFonts w:ascii="宋体" w:hAnsi="宋体" w:cs="宋体"/>
                <w:color w:val="auto"/>
                <w:kern w:val="0"/>
                <w:sz w:val="18"/>
                <w:szCs w:val="18"/>
                <w:highlight w:val="none"/>
              </w:rPr>
            </w:pPr>
          </w:p>
        </w:tc>
        <w:tc>
          <w:tcPr>
            <w:tcW w:w="936" w:type="dxa"/>
            <w:vMerge w:val="continue"/>
          </w:tcPr>
          <w:p w14:paraId="21C8CD66">
            <w:pPr>
              <w:widowControl/>
              <w:jc w:val="left"/>
              <w:rPr>
                <w:rFonts w:ascii="宋体" w:hAnsi="宋体" w:cs="宋体"/>
                <w:color w:val="auto"/>
                <w:kern w:val="0"/>
                <w:sz w:val="18"/>
                <w:szCs w:val="18"/>
                <w:highlight w:val="none"/>
              </w:rPr>
            </w:pPr>
          </w:p>
        </w:tc>
        <w:tc>
          <w:tcPr>
            <w:tcW w:w="3257" w:type="dxa"/>
          </w:tcPr>
          <w:p w14:paraId="0ACFF0F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1787" w:type="dxa"/>
          </w:tcPr>
          <w:p w14:paraId="37777D0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同意并给予客户换机。</w:t>
            </w:r>
          </w:p>
        </w:tc>
        <w:tc>
          <w:tcPr>
            <w:tcW w:w="2139" w:type="dxa"/>
          </w:tcPr>
          <w:p w14:paraId="0F87AAB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500元/台/次；同时在质保金中扣除换新机所需货款，由万翔直接给客户换机</w:t>
            </w:r>
          </w:p>
        </w:tc>
      </w:tr>
      <w:tr w14:paraId="15C5B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485" w:type="dxa"/>
            <w:noWrap/>
          </w:tcPr>
          <w:p w14:paraId="03C34477">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w:t>
            </w:r>
          </w:p>
        </w:tc>
        <w:tc>
          <w:tcPr>
            <w:tcW w:w="1068" w:type="dxa"/>
            <w:vMerge w:val="continue"/>
          </w:tcPr>
          <w:p w14:paraId="28582989">
            <w:pPr>
              <w:widowControl/>
              <w:jc w:val="left"/>
              <w:rPr>
                <w:rFonts w:ascii="宋体" w:hAnsi="宋体" w:cs="宋体"/>
                <w:color w:val="auto"/>
                <w:kern w:val="0"/>
                <w:sz w:val="18"/>
                <w:szCs w:val="18"/>
                <w:highlight w:val="none"/>
              </w:rPr>
            </w:pPr>
          </w:p>
        </w:tc>
        <w:tc>
          <w:tcPr>
            <w:tcW w:w="1067" w:type="dxa"/>
            <w:vMerge w:val="continue"/>
          </w:tcPr>
          <w:p w14:paraId="599E929A">
            <w:pPr>
              <w:widowControl/>
              <w:jc w:val="left"/>
              <w:rPr>
                <w:rFonts w:ascii="宋体" w:hAnsi="宋体" w:cs="宋体"/>
                <w:color w:val="auto"/>
                <w:kern w:val="0"/>
                <w:sz w:val="18"/>
                <w:szCs w:val="18"/>
                <w:highlight w:val="none"/>
              </w:rPr>
            </w:pPr>
          </w:p>
        </w:tc>
        <w:tc>
          <w:tcPr>
            <w:tcW w:w="936" w:type="dxa"/>
          </w:tcPr>
          <w:p w14:paraId="72BDB57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验收报告/辅材发票提供时效</w:t>
            </w:r>
          </w:p>
        </w:tc>
        <w:tc>
          <w:tcPr>
            <w:tcW w:w="3257" w:type="dxa"/>
          </w:tcPr>
          <w:p w14:paraId="75BF856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收到万翔客服专员通知后，2个工作日内提供验收报告/辅材发票给最终用户。</w:t>
            </w:r>
          </w:p>
        </w:tc>
        <w:tc>
          <w:tcPr>
            <w:tcW w:w="1787" w:type="dxa"/>
          </w:tcPr>
          <w:p w14:paraId="0DC9F76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万翔客服专员报单后2个工作日内</w:t>
            </w:r>
          </w:p>
        </w:tc>
        <w:tc>
          <w:tcPr>
            <w:tcW w:w="2139" w:type="dxa"/>
          </w:tcPr>
          <w:p w14:paraId="23AFCB6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400元/单/次，每逾期1个工作日按100元/单/工作日的标准加收违约金；</w:t>
            </w:r>
          </w:p>
        </w:tc>
      </w:tr>
      <w:tr w14:paraId="462CD9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2" w:hRule="atLeast"/>
          <w:jc w:val="center"/>
        </w:trPr>
        <w:tc>
          <w:tcPr>
            <w:tcW w:w="485" w:type="dxa"/>
            <w:noWrap/>
          </w:tcPr>
          <w:p w14:paraId="187F03FE">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8" w:type="dxa"/>
            <w:vMerge w:val="restart"/>
            <w:noWrap/>
          </w:tcPr>
          <w:p w14:paraId="5F82EAC7">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服务规范</w:t>
            </w:r>
          </w:p>
        </w:tc>
        <w:tc>
          <w:tcPr>
            <w:tcW w:w="1067" w:type="dxa"/>
            <w:vMerge w:val="restart"/>
          </w:tcPr>
          <w:p w14:paraId="0636691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936" w:type="dxa"/>
          </w:tcPr>
          <w:p w14:paraId="5BD6666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服务前的服务规范</w:t>
            </w:r>
          </w:p>
        </w:tc>
        <w:tc>
          <w:tcPr>
            <w:tcW w:w="3257" w:type="dxa"/>
          </w:tcPr>
          <w:p w14:paraId="6379687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1）上门服务人员应着品牌工装；</w:t>
            </w:r>
          </w:p>
          <w:p w14:paraId="5056FD6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2）安装/维修前应与最终用户核对机器型号、配置和台数；如维修需要向客户核实故障现象。</w:t>
            </w:r>
          </w:p>
          <w:p w14:paraId="4224815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3）安装前检查确认外包装完好再拆箱安装；如有异常须及时向最终用户反馈并报备给万翔客服专员后，再进行开箱验机；</w:t>
            </w:r>
          </w:p>
          <w:p w14:paraId="43161D47">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4）安装/维修前应检查最终用户的电源电压是否安全稳定，如有问题，应及时告知最终用户，协商整改；</w:t>
            </w:r>
          </w:p>
          <w:p w14:paraId="083A5EE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5）由于服务单位自身原因造成多人或多次联系客户、或上门服务时发现由于自身原因不能提供服务（如上门服务发现未带物料、上门安装空调发现未取孔）；</w:t>
            </w:r>
          </w:p>
          <w:p w14:paraId="168E74DB">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6）上门安装/维修时发现由于环境复杂或安装/维修有难度，拒绝为客户提供服务。</w:t>
            </w:r>
          </w:p>
        </w:tc>
        <w:tc>
          <w:tcPr>
            <w:tcW w:w="1787" w:type="dxa"/>
          </w:tcPr>
          <w:p w14:paraId="540C953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3696EFE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1FDE6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485" w:type="dxa"/>
            <w:noWrap/>
          </w:tcPr>
          <w:p w14:paraId="331B64AD">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1068" w:type="dxa"/>
            <w:vMerge w:val="continue"/>
          </w:tcPr>
          <w:p w14:paraId="390A38B3">
            <w:pPr>
              <w:widowControl/>
              <w:jc w:val="left"/>
              <w:rPr>
                <w:rFonts w:ascii="宋体" w:hAnsi="宋体" w:cs="宋体"/>
                <w:color w:val="auto"/>
                <w:kern w:val="0"/>
                <w:sz w:val="18"/>
                <w:szCs w:val="18"/>
                <w:highlight w:val="none"/>
              </w:rPr>
            </w:pPr>
          </w:p>
        </w:tc>
        <w:tc>
          <w:tcPr>
            <w:tcW w:w="1067" w:type="dxa"/>
            <w:vMerge w:val="continue"/>
          </w:tcPr>
          <w:p w14:paraId="1C3C6BF3">
            <w:pPr>
              <w:widowControl/>
              <w:jc w:val="left"/>
              <w:rPr>
                <w:rFonts w:ascii="宋体" w:hAnsi="宋体" w:cs="宋体"/>
                <w:color w:val="auto"/>
                <w:kern w:val="0"/>
                <w:sz w:val="18"/>
                <w:szCs w:val="18"/>
                <w:highlight w:val="none"/>
              </w:rPr>
            </w:pPr>
          </w:p>
        </w:tc>
        <w:tc>
          <w:tcPr>
            <w:tcW w:w="936" w:type="dxa"/>
          </w:tcPr>
          <w:p w14:paraId="4F1D5C7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服务中的服务规范</w:t>
            </w:r>
          </w:p>
        </w:tc>
        <w:tc>
          <w:tcPr>
            <w:tcW w:w="3257" w:type="dxa"/>
          </w:tcPr>
          <w:p w14:paraId="4A31900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1）安装过程中发现外包装完好，开箱出现货物内损则第一时间给最终用户换机处理，并报备给万翔客服专员；</w:t>
            </w:r>
          </w:p>
          <w:p w14:paraId="274E9B87">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2）检查每台机器的服务编号；</w:t>
            </w:r>
          </w:p>
          <w:p w14:paraId="49840CF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3) 安装时如果发现设备异常，及时与客户进行沟通，待情况核实清楚后，再行安装； </w:t>
            </w:r>
          </w:p>
          <w:p w14:paraId="739BCF1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4）免费提供所有设备的安装调试（包括计算机操作系统及补丁等应用软件安装等服务），安装完成后要开机测试以确保设备能够正常使用；</w:t>
            </w:r>
          </w:p>
          <w:p w14:paraId="4747B9B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5）协助最终用户安装外设等常用设备。并根据最终用户需求进行设置。</w:t>
            </w:r>
          </w:p>
          <w:p w14:paraId="1521A0A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6）安装位置必须保证设备的正常使用，如安装位置与客户要求不符，需要提前与客户沟通并找到适合的解决方案；</w:t>
            </w:r>
          </w:p>
          <w:p w14:paraId="5B79E66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7）安装务必保障美观，不能出现设备安装歪斜、影响美观或影响设备正常使用等情况；</w:t>
            </w:r>
          </w:p>
          <w:p w14:paraId="1A63C35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8）如果安装/维修数量较多，不能一天内完成，服务单位应连续为客户提供服务，并将情况及时向最终用户做汇报沟通；如有异常情况不能连续安装或暂时先离开现场，必须提前征得最终用户的同意。</w:t>
            </w:r>
          </w:p>
        </w:tc>
        <w:tc>
          <w:tcPr>
            <w:tcW w:w="1787" w:type="dxa"/>
          </w:tcPr>
          <w:p w14:paraId="5C6B6D5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5CFE6C4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22FC4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3" w:hRule="atLeast"/>
          <w:jc w:val="center"/>
        </w:trPr>
        <w:tc>
          <w:tcPr>
            <w:tcW w:w="485" w:type="dxa"/>
            <w:vMerge w:val="restart"/>
            <w:noWrap/>
          </w:tcPr>
          <w:p w14:paraId="767FF5E2">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068" w:type="dxa"/>
            <w:vMerge w:val="continue"/>
          </w:tcPr>
          <w:p w14:paraId="33DD3250">
            <w:pPr>
              <w:widowControl/>
              <w:jc w:val="left"/>
              <w:rPr>
                <w:rFonts w:ascii="宋体" w:hAnsi="宋体" w:cs="宋体"/>
                <w:color w:val="auto"/>
                <w:kern w:val="0"/>
                <w:sz w:val="18"/>
                <w:szCs w:val="18"/>
                <w:highlight w:val="none"/>
              </w:rPr>
            </w:pPr>
          </w:p>
        </w:tc>
        <w:tc>
          <w:tcPr>
            <w:tcW w:w="1067" w:type="dxa"/>
            <w:vMerge w:val="continue"/>
          </w:tcPr>
          <w:p w14:paraId="07747B8F">
            <w:pPr>
              <w:widowControl/>
              <w:jc w:val="left"/>
              <w:rPr>
                <w:rFonts w:ascii="宋体" w:hAnsi="宋体" w:cs="宋体"/>
                <w:color w:val="auto"/>
                <w:kern w:val="0"/>
                <w:sz w:val="18"/>
                <w:szCs w:val="18"/>
                <w:highlight w:val="none"/>
              </w:rPr>
            </w:pPr>
          </w:p>
        </w:tc>
        <w:tc>
          <w:tcPr>
            <w:tcW w:w="936" w:type="dxa"/>
            <w:vMerge w:val="restart"/>
          </w:tcPr>
          <w:p w14:paraId="2BBC8DA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服务后的服务规范</w:t>
            </w:r>
          </w:p>
        </w:tc>
        <w:tc>
          <w:tcPr>
            <w:tcW w:w="3257" w:type="dxa"/>
          </w:tcPr>
          <w:p w14:paraId="3A101F6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1)安装完毕，应和最终用户一起确认产品的正常运行。</w:t>
            </w:r>
          </w:p>
          <w:p w14:paraId="10D8383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2)安装完毕，并为每台机器注册信息, 应向最终用户详细讲解保修条例；如没有注册信息而导致机器在保修期内无法保修的情况，服务商要负责此维修费用。</w:t>
            </w:r>
          </w:p>
          <w:p w14:paraId="097440C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3)安装完毕，应向最终用户详细讲解使用操作方法和日常维护保养措施，耐心解答最终用户提出的问题，并留下服务电话；在设备合适的地方填(贴)上机器信息（包括报修电话、机器序列号及服务号），以方便最终用户报修。</w:t>
            </w:r>
            <w:r>
              <w:rPr>
                <w:rFonts w:hint="eastAsia" w:ascii="宋体" w:hAnsi="宋体" w:cs="宋体"/>
                <w:color w:val="auto"/>
                <w:kern w:val="0"/>
                <w:sz w:val="18"/>
                <w:szCs w:val="18"/>
                <w:highlight w:val="none"/>
              </w:rPr>
              <w:br w:type="page"/>
            </w:r>
          </w:p>
          <w:p w14:paraId="3C152E2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4）安装/维修等服务结束后，应把工作现场打扫干净，将工具等物品复位，并将安装/维修过程中产生的垃圾带离现场。</w:t>
            </w:r>
          </w:p>
          <w:p w14:paraId="100661F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5）安装完毕，应将《厦门市大宗货物政府采购供货验收单》按万翔网商要求打印并交给客户盖章、签字。</w:t>
            </w:r>
            <w:r>
              <w:rPr>
                <w:rFonts w:hint="eastAsia" w:ascii="宋体" w:hAnsi="宋体" w:cs="宋体"/>
                <w:color w:val="auto"/>
                <w:kern w:val="0"/>
                <w:sz w:val="18"/>
                <w:szCs w:val="18"/>
                <w:highlight w:val="none"/>
              </w:rPr>
              <w:br w:type="page"/>
            </w:r>
          </w:p>
          <w:p w14:paraId="7BFB989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6)二维码标签存在漏贴，错贴、重复贴码等；序列号错漏；信息未绑定并回执到平台等不符合万翔网商管理要求的情况。</w:t>
            </w:r>
          </w:p>
        </w:tc>
        <w:tc>
          <w:tcPr>
            <w:tcW w:w="1787" w:type="dxa"/>
          </w:tcPr>
          <w:p w14:paraId="68730D1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15A6607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1D1F7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jc w:val="center"/>
        </w:trPr>
        <w:tc>
          <w:tcPr>
            <w:tcW w:w="485" w:type="dxa"/>
            <w:vMerge w:val="continue"/>
            <w:noWrap/>
          </w:tcPr>
          <w:p w14:paraId="53F168F8">
            <w:pPr>
              <w:widowControl/>
              <w:jc w:val="center"/>
              <w:rPr>
                <w:rFonts w:ascii="宋体" w:hAnsi="宋体" w:cs="宋体"/>
                <w:color w:val="auto"/>
                <w:kern w:val="0"/>
                <w:sz w:val="18"/>
                <w:szCs w:val="18"/>
                <w:highlight w:val="none"/>
              </w:rPr>
            </w:pPr>
          </w:p>
        </w:tc>
        <w:tc>
          <w:tcPr>
            <w:tcW w:w="1068" w:type="dxa"/>
            <w:vMerge w:val="continue"/>
          </w:tcPr>
          <w:p w14:paraId="6A9B9021">
            <w:pPr>
              <w:widowControl/>
              <w:jc w:val="left"/>
              <w:rPr>
                <w:rFonts w:ascii="宋体" w:hAnsi="宋体" w:cs="宋体"/>
                <w:color w:val="auto"/>
                <w:kern w:val="0"/>
                <w:sz w:val="18"/>
                <w:szCs w:val="18"/>
                <w:highlight w:val="none"/>
              </w:rPr>
            </w:pPr>
          </w:p>
        </w:tc>
        <w:tc>
          <w:tcPr>
            <w:tcW w:w="1067" w:type="dxa"/>
            <w:vMerge w:val="continue"/>
          </w:tcPr>
          <w:p w14:paraId="3429A31D">
            <w:pPr>
              <w:widowControl/>
              <w:jc w:val="left"/>
              <w:rPr>
                <w:rFonts w:ascii="宋体" w:hAnsi="宋体" w:cs="宋体"/>
                <w:color w:val="auto"/>
                <w:kern w:val="0"/>
                <w:sz w:val="18"/>
                <w:szCs w:val="18"/>
                <w:highlight w:val="none"/>
              </w:rPr>
            </w:pPr>
          </w:p>
        </w:tc>
        <w:tc>
          <w:tcPr>
            <w:tcW w:w="936" w:type="dxa"/>
            <w:vMerge w:val="continue"/>
          </w:tcPr>
          <w:p w14:paraId="049A365A">
            <w:pPr>
              <w:widowControl/>
              <w:jc w:val="left"/>
              <w:rPr>
                <w:rFonts w:ascii="宋体" w:hAnsi="宋体" w:cs="宋体"/>
                <w:color w:val="auto"/>
                <w:kern w:val="0"/>
                <w:sz w:val="18"/>
                <w:szCs w:val="18"/>
                <w:highlight w:val="none"/>
              </w:rPr>
            </w:pPr>
          </w:p>
        </w:tc>
        <w:tc>
          <w:tcPr>
            <w:tcW w:w="3257" w:type="dxa"/>
          </w:tcPr>
          <w:p w14:paraId="5C4AB8E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在产品上标粘非万翔网商授权的信息以及标签</w:t>
            </w:r>
          </w:p>
        </w:tc>
        <w:tc>
          <w:tcPr>
            <w:tcW w:w="1787" w:type="dxa"/>
          </w:tcPr>
          <w:p w14:paraId="1F6088D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发现未按规范</w:t>
            </w:r>
          </w:p>
        </w:tc>
        <w:tc>
          <w:tcPr>
            <w:tcW w:w="2139" w:type="dxa"/>
          </w:tcPr>
          <w:p w14:paraId="3CCFB20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10000</w:t>
            </w:r>
            <w:r>
              <w:rPr>
                <w:rFonts w:hint="eastAsia" w:ascii="宋体" w:hAnsi="宋体" w:cs="宋体"/>
                <w:color w:val="auto"/>
                <w:kern w:val="0"/>
                <w:sz w:val="18"/>
                <w:szCs w:val="18"/>
                <w:highlight w:val="none"/>
              </w:rPr>
              <w:t>元/次</w:t>
            </w:r>
          </w:p>
        </w:tc>
      </w:tr>
      <w:tr w14:paraId="245D0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jc w:val="center"/>
        </w:trPr>
        <w:tc>
          <w:tcPr>
            <w:tcW w:w="485" w:type="dxa"/>
            <w:noWrap/>
          </w:tcPr>
          <w:p w14:paraId="0FEEDE80">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w:t>
            </w:r>
          </w:p>
        </w:tc>
        <w:tc>
          <w:tcPr>
            <w:tcW w:w="1068" w:type="dxa"/>
            <w:vMerge w:val="continue"/>
          </w:tcPr>
          <w:p w14:paraId="4171EB5D">
            <w:pPr>
              <w:widowControl/>
              <w:jc w:val="left"/>
              <w:rPr>
                <w:rFonts w:ascii="宋体" w:hAnsi="宋体" w:cs="宋体"/>
                <w:color w:val="auto"/>
                <w:kern w:val="0"/>
                <w:sz w:val="18"/>
                <w:szCs w:val="18"/>
                <w:highlight w:val="none"/>
              </w:rPr>
            </w:pPr>
          </w:p>
        </w:tc>
        <w:tc>
          <w:tcPr>
            <w:tcW w:w="1067" w:type="dxa"/>
            <w:vMerge w:val="continue"/>
          </w:tcPr>
          <w:p w14:paraId="0A623E7A">
            <w:pPr>
              <w:widowControl/>
              <w:jc w:val="left"/>
              <w:rPr>
                <w:rFonts w:ascii="宋体" w:hAnsi="宋体" w:cs="宋体"/>
                <w:color w:val="auto"/>
                <w:kern w:val="0"/>
                <w:sz w:val="18"/>
                <w:szCs w:val="18"/>
                <w:highlight w:val="none"/>
              </w:rPr>
            </w:pPr>
          </w:p>
        </w:tc>
        <w:tc>
          <w:tcPr>
            <w:tcW w:w="936" w:type="dxa"/>
          </w:tcPr>
          <w:p w14:paraId="6CC428F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服务仪表、态度</w:t>
            </w:r>
          </w:p>
        </w:tc>
        <w:tc>
          <w:tcPr>
            <w:tcW w:w="3257" w:type="dxa"/>
          </w:tcPr>
          <w:p w14:paraId="079089E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服务人员着装应规范，言语不生硬、不敷衍、态度好；妥善处理客户的不满情绪；</w:t>
            </w:r>
          </w:p>
        </w:tc>
        <w:tc>
          <w:tcPr>
            <w:tcW w:w="1787" w:type="dxa"/>
          </w:tcPr>
          <w:p w14:paraId="6AD39FB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1394504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073E9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jc w:val="center"/>
        </w:trPr>
        <w:tc>
          <w:tcPr>
            <w:tcW w:w="485" w:type="dxa"/>
            <w:noWrap/>
          </w:tcPr>
          <w:p w14:paraId="768444B9">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068" w:type="dxa"/>
            <w:vMerge w:val="continue"/>
          </w:tcPr>
          <w:p w14:paraId="4A73FDEB">
            <w:pPr>
              <w:widowControl/>
              <w:jc w:val="left"/>
              <w:rPr>
                <w:rFonts w:ascii="宋体" w:hAnsi="宋体" w:cs="宋体"/>
                <w:color w:val="auto"/>
                <w:kern w:val="0"/>
                <w:sz w:val="18"/>
                <w:szCs w:val="18"/>
                <w:highlight w:val="none"/>
              </w:rPr>
            </w:pPr>
          </w:p>
        </w:tc>
        <w:tc>
          <w:tcPr>
            <w:tcW w:w="1067" w:type="dxa"/>
            <w:vMerge w:val="continue"/>
          </w:tcPr>
          <w:p w14:paraId="0898EAE8">
            <w:pPr>
              <w:widowControl/>
              <w:jc w:val="left"/>
              <w:rPr>
                <w:rFonts w:ascii="宋体" w:hAnsi="宋体" w:cs="宋体"/>
                <w:color w:val="auto"/>
                <w:kern w:val="0"/>
                <w:sz w:val="18"/>
                <w:szCs w:val="18"/>
                <w:highlight w:val="none"/>
              </w:rPr>
            </w:pPr>
          </w:p>
        </w:tc>
        <w:tc>
          <w:tcPr>
            <w:tcW w:w="936" w:type="dxa"/>
          </w:tcPr>
          <w:p w14:paraId="7C68E87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额外情况规范</w:t>
            </w:r>
          </w:p>
        </w:tc>
        <w:tc>
          <w:tcPr>
            <w:tcW w:w="3257" w:type="dxa"/>
          </w:tcPr>
          <w:p w14:paraId="7AA0BC7B">
            <w:pPr>
              <w:widowControl/>
              <w:spacing w:after="24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1）电话联系客户时间及上门服务时间必须在最终用户的正常工作时间内，已提前沟通且客户同意的情况下除外。</w:t>
            </w:r>
          </w:p>
          <w:p w14:paraId="1FB5711D">
            <w:pPr>
              <w:widowControl/>
              <w:spacing w:after="24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1787" w:type="dxa"/>
          </w:tcPr>
          <w:p w14:paraId="24DC5E8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3E606F5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0253C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jc w:val="center"/>
        </w:trPr>
        <w:tc>
          <w:tcPr>
            <w:tcW w:w="485" w:type="dxa"/>
            <w:noWrap/>
          </w:tcPr>
          <w:p w14:paraId="213FC7C4">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8" w:type="dxa"/>
            <w:vMerge w:val="continue"/>
          </w:tcPr>
          <w:p w14:paraId="48AF3F23">
            <w:pPr>
              <w:widowControl/>
              <w:jc w:val="left"/>
              <w:rPr>
                <w:rFonts w:ascii="宋体" w:hAnsi="宋体" w:cs="宋体"/>
                <w:color w:val="auto"/>
                <w:kern w:val="0"/>
                <w:sz w:val="18"/>
                <w:szCs w:val="18"/>
                <w:highlight w:val="none"/>
              </w:rPr>
            </w:pPr>
          </w:p>
        </w:tc>
        <w:tc>
          <w:tcPr>
            <w:tcW w:w="1067" w:type="dxa"/>
            <w:vMerge w:val="continue"/>
          </w:tcPr>
          <w:p w14:paraId="30C95327">
            <w:pPr>
              <w:widowControl/>
              <w:jc w:val="left"/>
              <w:rPr>
                <w:rFonts w:ascii="宋体" w:hAnsi="宋体" w:cs="宋体"/>
                <w:color w:val="auto"/>
                <w:kern w:val="0"/>
                <w:sz w:val="18"/>
                <w:szCs w:val="18"/>
                <w:highlight w:val="none"/>
              </w:rPr>
            </w:pPr>
          </w:p>
        </w:tc>
        <w:tc>
          <w:tcPr>
            <w:tcW w:w="936" w:type="dxa"/>
          </w:tcPr>
          <w:p w14:paraId="736B305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意外情况规范</w:t>
            </w:r>
          </w:p>
        </w:tc>
        <w:tc>
          <w:tcPr>
            <w:tcW w:w="3257" w:type="dxa"/>
          </w:tcPr>
          <w:p w14:paraId="12DD955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1）服务过程中如有损坏客户物品，应及时与客户沟通赔偿方案，并在约定时间内进行赔偿。</w:t>
            </w:r>
          </w:p>
          <w:p w14:paraId="126D0E9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2）安装的设备务必保证使用安全，不能出现在使用过程中掉落等意外情况；</w:t>
            </w:r>
          </w:p>
        </w:tc>
        <w:tc>
          <w:tcPr>
            <w:tcW w:w="1787" w:type="dxa"/>
          </w:tcPr>
          <w:p w14:paraId="72E9F93B">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3E582DC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2C5E7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jc w:val="center"/>
        </w:trPr>
        <w:tc>
          <w:tcPr>
            <w:tcW w:w="485" w:type="dxa"/>
            <w:noWrap/>
          </w:tcPr>
          <w:p w14:paraId="1D198D5A">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1068" w:type="dxa"/>
            <w:vMerge w:val="continue"/>
          </w:tcPr>
          <w:p w14:paraId="5C92C40E">
            <w:pPr>
              <w:widowControl/>
              <w:jc w:val="left"/>
              <w:rPr>
                <w:rFonts w:ascii="宋体" w:hAnsi="宋体" w:cs="宋体"/>
                <w:color w:val="auto"/>
                <w:kern w:val="0"/>
                <w:sz w:val="18"/>
                <w:szCs w:val="18"/>
                <w:highlight w:val="none"/>
              </w:rPr>
            </w:pPr>
          </w:p>
        </w:tc>
        <w:tc>
          <w:tcPr>
            <w:tcW w:w="1067" w:type="dxa"/>
            <w:vMerge w:val="continue"/>
          </w:tcPr>
          <w:p w14:paraId="6AE5240F">
            <w:pPr>
              <w:widowControl/>
              <w:jc w:val="left"/>
              <w:rPr>
                <w:rFonts w:ascii="宋体" w:hAnsi="宋体" w:cs="宋体"/>
                <w:color w:val="auto"/>
                <w:kern w:val="0"/>
                <w:sz w:val="18"/>
                <w:szCs w:val="18"/>
                <w:highlight w:val="none"/>
              </w:rPr>
            </w:pPr>
          </w:p>
        </w:tc>
        <w:tc>
          <w:tcPr>
            <w:tcW w:w="936" w:type="dxa"/>
          </w:tcPr>
          <w:p w14:paraId="4DCF3FA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备用机使用</w:t>
            </w:r>
          </w:p>
        </w:tc>
        <w:tc>
          <w:tcPr>
            <w:tcW w:w="3257" w:type="dxa"/>
          </w:tcPr>
          <w:p w14:paraId="1323300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1787" w:type="dxa"/>
          </w:tcPr>
          <w:p w14:paraId="414A511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未提供备用机的安装调试等；或者客户机子还未修复好，就要求客户归还备用机</w:t>
            </w:r>
          </w:p>
        </w:tc>
        <w:tc>
          <w:tcPr>
            <w:tcW w:w="2139" w:type="dxa"/>
          </w:tcPr>
          <w:p w14:paraId="3306FDA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1C875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485" w:type="dxa"/>
            <w:noWrap/>
          </w:tcPr>
          <w:p w14:paraId="387197F8">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17</w:t>
            </w:r>
          </w:p>
        </w:tc>
        <w:tc>
          <w:tcPr>
            <w:tcW w:w="1068" w:type="dxa"/>
          </w:tcPr>
          <w:p w14:paraId="1B9B4CB4">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服务质量</w:t>
            </w:r>
          </w:p>
        </w:tc>
        <w:tc>
          <w:tcPr>
            <w:tcW w:w="1067" w:type="dxa"/>
          </w:tcPr>
          <w:p w14:paraId="2EB2CFA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服务人员不具备服务能力；</w:t>
            </w:r>
          </w:p>
          <w:p w14:paraId="0AA5D81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维修后一个月内又出现同样故障、或同一故障频繁重复再现；</w:t>
            </w:r>
          </w:p>
        </w:tc>
        <w:tc>
          <w:tcPr>
            <w:tcW w:w="936" w:type="dxa"/>
          </w:tcPr>
          <w:p w14:paraId="3984063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客户报修频率</w:t>
            </w:r>
          </w:p>
        </w:tc>
        <w:tc>
          <w:tcPr>
            <w:tcW w:w="3257" w:type="dxa"/>
          </w:tcPr>
          <w:p w14:paraId="2156CD6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1）一个月内再次出现同样故障。或者故障反复出现。</w:t>
            </w:r>
          </w:p>
          <w:p w14:paraId="774B39D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2）明确由于服务引发的产品其他故障。</w:t>
            </w:r>
          </w:p>
          <w:p w14:paraId="4CE224A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3）服务人员上门后表示不会安装或维修，或安装/维修操作不熟练。</w:t>
            </w:r>
          </w:p>
        </w:tc>
        <w:tc>
          <w:tcPr>
            <w:tcW w:w="1787" w:type="dxa"/>
          </w:tcPr>
          <w:p w14:paraId="6EAC34B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1ADE11D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1E480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jc w:val="center"/>
        </w:trPr>
        <w:tc>
          <w:tcPr>
            <w:tcW w:w="485" w:type="dxa"/>
            <w:noWrap/>
          </w:tcPr>
          <w:p w14:paraId="67DC8668">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c>
          <w:tcPr>
            <w:tcW w:w="1068" w:type="dxa"/>
          </w:tcPr>
          <w:p w14:paraId="0686D62D">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收费</w:t>
            </w:r>
          </w:p>
        </w:tc>
        <w:tc>
          <w:tcPr>
            <w:tcW w:w="1067" w:type="dxa"/>
          </w:tcPr>
          <w:p w14:paraId="3DC4E70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未按合同规定操作，未提前与最终用户沟通收费标准，多收费或乱收费</w:t>
            </w:r>
          </w:p>
        </w:tc>
        <w:tc>
          <w:tcPr>
            <w:tcW w:w="936" w:type="dxa"/>
          </w:tcPr>
          <w:p w14:paraId="76EA5B7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收费项目</w:t>
            </w:r>
          </w:p>
        </w:tc>
        <w:tc>
          <w:tcPr>
            <w:tcW w:w="3257" w:type="dxa"/>
          </w:tcPr>
          <w:p w14:paraId="6F4F5C8B">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1）有偿服务的范围，应按合同约定的收费标准或公司定价向客户说明并提前报价给客户，合同中明确免费的不得向客户收费，合同中明确免费的不能以隐瞒或欺骗的方式向客户提供收费的替代物料。</w:t>
            </w:r>
          </w:p>
          <w:p w14:paraId="1BC454E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2）报价时应向客户提供清单明细，包括规格型号、单价、数量、总价、保修时间（如有）、保修方式（如有）；</w:t>
            </w:r>
          </w:p>
          <w:p w14:paraId="08D6F52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3）提供服务前必须征得最终用户的同意；不能出现服务完成后才告知客户需要收费。</w:t>
            </w:r>
          </w:p>
        </w:tc>
        <w:tc>
          <w:tcPr>
            <w:tcW w:w="1787" w:type="dxa"/>
          </w:tcPr>
          <w:p w14:paraId="71BFA21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0B60A10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3517B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485" w:type="dxa"/>
            <w:noWrap/>
          </w:tcPr>
          <w:p w14:paraId="0AD16184">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19</w:t>
            </w:r>
          </w:p>
        </w:tc>
        <w:tc>
          <w:tcPr>
            <w:tcW w:w="1068" w:type="dxa"/>
            <w:vMerge w:val="restart"/>
          </w:tcPr>
          <w:p w14:paraId="67C8E385">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验收报告回收时效</w:t>
            </w:r>
          </w:p>
        </w:tc>
        <w:tc>
          <w:tcPr>
            <w:tcW w:w="1067" w:type="dxa"/>
            <w:vMerge w:val="restart"/>
          </w:tcPr>
          <w:p w14:paraId="1AC9886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未按合同规定，安装调试完成后应及时反馈给买方，并按照买方要求由最终用户填写《验收报告》，三个工作日内报送给买方。超过5个工作日仍未回收的，按每逾期一天10元/单的标准加收违约金。</w:t>
            </w:r>
          </w:p>
        </w:tc>
        <w:tc>
          <w:tcPr>
            <w:tcW w:w="936" w:type="dxa"/>
          </w:tcPr>
          <w:p w14:paraId="77857F0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提供给最终用户验收报告的时效</w:t>
            </w:r>
          </w:p>
        </w:tc>
        <w:tc>
          <w:tcPr>
            <w:tcW w:w="3257" w:type="dxa"/>
          </w:tcPr>
          <w:p w14:paraId="289EA8C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1）安装完成后及时提供“验收报告”给最终用户，其中“客户联”留给客户，将其他联在2个工作日内（安装调试完毕后，次日算第一天）回收；</w:t>
            </w:r>
          </w:p>
          <w:p w14:paraId="3A57E47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2）如验收报告超出约定时间提供，必须提前与最终用户做好沟通并征得最终用户的同意。</w:t>
            </w:r>
          </w:p>
        </w:tc>
        <w:tc>
          <w:tcPr>
            <w:tcW w:w="1787" w:type="dxa"/>
          </w:tcPr>
          <w:p w14:paraId="435C123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安装后超过2个工作日客户催验收报告。</w:t>
            </w:r>
          </w:p>
        </w:tc>
        <w:tc>
          <w:tcPr>
            <w:tcW w:w="2139" w:type="dxa"/>
          </w:tcPr>
          <w:p w14:paraId="39F428F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200元/次+（N-1）*10元/台/次</w:t>
            </w:r>
          </w:p>
        </w:tc>
      </w:tr>
      <w:tr w14:paraId="00E65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485" w:type="dxa"/>
            <w:noWrap/>
          </w:tcPr>
          <w:p w14:paraId="72D162B0">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8" w:type="dxa"/>
            <w:vMerge w:val="continue"/>
          </w:tcPr>
          <w:p w14:paraId="1E332C41">
            <w:pPr>
              <w:widowControl/>
              <w:jc w:val="left"/>
              <w:rPr>
                <w:rFonts w:ascii="宋体" w:hAnsi="宋体" w:cs="宋体"/>
                <w:color w:val="auto"/>
                <w:kern w:val="0"/>
                <w:sz w:val="18"/>
                <w:szCs w:val="18"/>
                <w:highlight w:val="none"/>
              </w:rPr>
            </w:pPr>
          </w:p>
        </w:tc>
        <w:tc>
          <w:tcPr>
            <w:tcW w:w="1067" w:type="dxa"/>
            <w:vMerge w:val="continue"/>
          </w:tcPr>
          <w:p w14:paraId="40D5D300">
            <w:pPr>
              <w:widowControl/>
              <w:jc w:val="left"/>
              <w:rPr>
                <w:rFonts w:ascii="宋体" w:hAnsi="宋体" w:cs="宋体"/>
                <w:color w:val="auto"/>
                <w:kern w:val="0"/>
                <w:sz w:val="18"/>
                <w:szCs w:val="18"/>
                <w:highlight w:val="none"/>
              </w:rPr>
            </w:pPr>
          </w:p>
        </w:tc>
        <w:tc>
          <w:tcPr>
            <w:tcW w:w="936" w:type="dxa"/>
          </w:tcPr>
          <w:p w14:paraId="6FC5FEC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提供客户签盖的验收报告给万翔</w:t>
            </w:r>
          </w:p>
        </w:tc>
        <w:tc>
          <w:tcPr>
            <w:tcW w:w="3257" w:type="dxa"/>
          </w:tcPr>
          <w:p w14:paraId="55B83D1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1787" w:type="dxa"/>
          </w:tcPr>
          <w:p w14:paraId="79E0115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安装后超过5个工作日万翔网商未收到验收报告</w:t>
            </w:r>
          </w:p>
        </w:tc>
        <w:tc>
          <w:tcPr>
            <w:tcW w:w="2139" w:type="dxa"/>
          </w:tcPr>
          <w:p w14:paraId="1640F49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200元/次+（N-1）*10元/台/次</w:t>
            </w:r>
          </w:p>
        </w:tc>
      </w:tr>
      <w:tr w14:paraId="75E03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4A6518A1">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p>
        </w:tc>
        <w:tc>
          <w:tcPr>
            <w:tcW w:w="1068" w:type="dxa"/>
            <w:vMerge w:val="restart"/>
          </w:tcPr>
          <w:p w14:paraId="2A370160">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信息反馈</w:t>
            </w:r>
          </w:p>
        </w:tc>
        <w:tc>
          <w:tcPr>
            <w:tcW w:w="1067" w:type="dxa"/>
            <w:vMerge w:val="restart"/>
          </w:tcPr>
          <w:p w14:paraId="67A4D16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未按买方要求反馈所需报表，或所提供报表信息存在虚假的问题。</w:t>
            </w:r>
          </w:p>
        </w:tc>
        <w:tc>
          <w:tcPr>
            <w:tcW w:w="936" w:type="dxa"/>
          </w:tcPr>
          <w:p w14:paraId="3677CCA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服务商操作平台进度回复</w:t>
            </w:r>
          </w:p>
        </w:tc>
        <w:tc>
          <w:tcPr>
            <w:tcW w:w="3257" w:type="dxa"/>
          </w:tcPr>
          <w:p w14:paraId="6FA30D3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在收到买方派单后且在服务完成后一个工作日内进行回复</w:t>
            </w:r>
          </w:p>
        </w:tc>
        <w:tc>
          <w:tcPr>
            <w:tcW w:w="1787" w:type="dxa"/>
            <w:noWrap/>
          </w:tcPr>
          <w:p w14:paraId="74BB983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回复不及时、虚假信息等</w:t>
            </w:r>
          </w:p>
        </w:tc>
        <w:tc>
          <w:tcPr>
            <w:tcW w:w="2139" w:type="dxa"/>
          </w:tcPr>
          <w:p w14:paraId="6119881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22FFE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148FF611">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22</w:t>
            </w:r>
          </w:p>
        </w:tc>
        <w:tc>
          <w:tcPr>
            <w:tcW w:w="1068" w:type="dxa"/>
            <w:vMerge w:val="continue"/>
          </w:tcPr>
          <w:p w14:paraId="321D6D10">
            <w:pPr>
              <w:widowControl/>
              <w:jc w:val="left"/>
              <w:rPr>
                <w:rFonts w:ascii="宋体" w:hAnsi="宋体" w:cs="宋体"/>
                <w:color w:val="auto"/>
                <w:kern w:val="0"/>
                <w:sz w:val="18"/>
                <w:szCs w:val="18"/>
                <w:highlight w:val="none"/>
              </w:rPr>
            </w:pPr>
          </w:p>
        </w:tc>
        <w:tc>
          <w:tcPr>
            <w:tcW w:w="1067" w:type="dxa"/>
            <w:vMerge w:val="continue"/>
          </w:tcPr>
          <w:p w14:paraId="79E8D471">
            <w:pPr>
              <w:widowControl/>
              <w:jc w:val="left"/>
              <w:rPr>
                <w:rFonts w:ascii="宋体" w:hAnsi="宋体" w:cs="宋体"/>
                <w:color w:val="auto"/>
                <w:kern w:val="0"/>
                <w:sz w:val="18"/>
                <w:szCs w:val="18"/>
                <w:highlight w:val="none"/>
              </w:rPr>
            </w:pPr>
          </w:p>
        </w:tc>
        <w:tc>
          <w:tcPr>
            <w:tcW w:w="936" w:type="dxa"/>
          </w:tcPr>
          <w:p w14:paraId="223A44C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日常售后回复信息</w:t>
            </w:r>
          </w:p>
        </w:tc>
        <w:tc>
          <w:tcPr>
            <w:tcW w:w="3257" w:type="dxa"/>
          </w:tcPr>
          <w:p w14:paraId="3E3005C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在收到买方派单后应按照合同要求及时进行回复</w:t>
            </w:r>
          </w:p>
        </w:tc>
        <w:tc>
          <w:tcPr>
            <w:tcW w:w="1787" w:type="dxa"/>
            <w:noWrap/>
          </w:tcPr>
          <w:p w14:paraId="10E911B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催安装、报修、退换货等售后需求，处理情况虚假等</w:t>
            </w:r>
          </w:p>
        </w:tc>
        <w:tc>
          <w:tcPr>
            <w:tcW w:w="2139" w:type="dxa"/>
          </w:tcPr>
          <w:p w14:paraId="7A0F8C9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13679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5B25A5D3">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23</w:t>
            </w:r>
          </w:p>
        </w:tc>
        <w:tc>
          <w:tcPr>
            <w:tcW w:w="1068" w:type="dxa"/>
            <w:vMerge w:val="continue"/>
          </w:tcPr>
          <w:p w14:paraId="04C90DD8">
            <w:pPr>
              <w:widowControl/>
              <w:jc w:val="left"/>
              <w:rPr>
                <w:rFonts w:ascii="宋体" w:hAnsi="宋体" w:cs="宋体"/>
                <w:color w:val="auto"/>
                <w:kern w:val="0"/>
                <w:sz w:val="18"/>
                <w:szCs w:val="18"/>
                <w:highlight w:val="none"/>
              </w:rPr>
            </w:pPr>
          </w:p>
        </w:tc>
        <w:tc>
          <w:tcPr>
            <w:tcW w:w="1067" w:type="dxa"/>
            <w:vMerge w:val="continue"/>
          </w:tcPr>
          <w:p w14:paraId="0B5C75C9">
            <w:pPr>
              <w:widowControl/>
              <w:jc w:val="left"/>
              <w:rPr>
                <w:rFonts w:ascii="宋体" w:hAnsi="宋体" w:cs="宋体"/>
                <w:color w:val="auto"/>
                <w:kern w:val="0"/>
                <w:sz w:val="18"/>
                <w:szCs w:val="18"/>
                <w:highlight w:val="none"/>
              </w:rPr>
            </w:pPr>
          </w:p>
        </w:tc>
        <w:tc>
          <w:tcPr>
            <w:tcW w:w="936" w:type="dxa"/>
          </w:tcPr>
          <w:p w14:paraId="2F0F96D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其他万翔要求提供的信息</w:t>
            </w:r>
          </w:p>
        </w:tc>
        <w:tc>
          <w:tcPr>
            <w:tcW w:w="3257" w:type="dxa"/>
          </w:tcPr>
          <w:p w14:paraId="178708E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在收到买方派单后应按照合同要求及时进行回复</w:t>
            </w:r>
          </w:p>
        </w:tc>
        <w:tc>
          <w:tcPr>
            <w:tcW w:w="1787" w:type="dxa"/>
            <w:noWrap/>
          </w:tcPr>
          <w:p w14:paraId="304D1AF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信息虚假等</w:t>
            </w:r>
          </w:p>
        </w:tc>
        <w:tc>
          <w:tcPr>
            <w:tcW w:w="2139" w:type="dxa"/>
          </w:tcPr>
          <w:p w14:paraId="65698A5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27B75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2E48CB0F">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24</w:t>
            </w:r>
          </w:p>
        </w:tc>
        <w:tc>
          <w:tcPr>
            <w:tcW w:w="1068" w:type="dxa"/>
            <w:vMerge w:val="restart"/>
          </w:tcPr>
          <w:p w14:paraId="231BD24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投诉（根据卖方产品质量、服务造成用户投诉的层级进计收违约金，当投诉涉及多个层级以最高层级计收违约金标准为准）</w:t>
            </w:r>
          </w:p>
        </w:tc>
        <w:tc>
          <w:tcPr>
            <w:tcW w:w="1067" w:type="dxa"/>
          </w:tcPr>
          <w:p w14:paraId="18E4B7F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1、投诉至买方售后服务部门并得以证实                                        </w:t>
            </w:r>
          </w:p>
        </w:tc>
        <w:tc>
          <w:tcPr>
            <w:tcW w:w="936" w:type="dxa"/>
          </w:tcPr>
          <w:p w14:paraId="5572D22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投诉到万翔售后</w:t>
            </w:r>
          </w:p>
        </w:tc>
        <w:tc>
          <w:tcPr>
            <w:tcW w:w="3257" w:type="dxa"/>
          </w:tcPr>
          <w:p w14:paraId="74920B3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应妥善处理客户不满或者需求，不应让客户向万翔投诉</w:t>
            </w:r>
          </w:p>
        </w:tc>
        <w:tc>
          <w:tcPr>
            <w:tcW w:w="1787" w:type="dxa"/>
            <w:noWrap/>
          </w:tcPr>
          <w:p w14:paraId="28A3AF31">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服务商无法证明情况不属实</w:t>
            </w:r>
          </w:p>
        </w:tc>
        <w:tc>
          <w:tcPr>
            <w:tcW w:w="2139" w:type="dxa"/>
          </w:tcPr>
          <w:p w14:paraId="53799C8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10000元/次</w:t>
            </w:r>
          </w:p>
        </w:tc>
      </w:tr>
      <w:tr w14:paraId="51BE1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0C2E5C31">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25</w:t>
            </w:r>
          </w:p>
        </w:tc>
        <w:tc>
          <w:tcPr>
            <w:tcW w:w="1068" w:type="dxa"/>
            <w:vMerge w:val="continue"/>
          </w:tcPr>
          <w:p w14:paraId="524A25F2">
            <w:pPr>
              <w:widowControl/>
              <w:jc w:val="left"/>
              <w:rPr>
                <w:rFonts w:ascii="宋体" w:hAnsi="宋体" w:cs="宋体"/>
                <w:color w:val="auto"/>
                <w:kern w:val="0"/>
                <w:sz w:val="18"/>
                <w:szCs w:val="18"/>
                <w:highlight w:val="none"/>
              </w:rPr>
            </w:pPr>
          </w:p>
        </w:tc>
        <w:tc>
          <w:tcPr>
            <w:tcW w:w="1067" w:type="dxa"/>
          </w:tcPr>
          <w:p w14:paraId="51BC4CB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2、投诉至厦门翔业集团内部监管部门并得以证实          </w:t>
            </w:r>
          </w:p>
        </w:tc>
        <w:tc>
          <w:tcPr>
            <w:tcW w:w="936" w:type="dxa"/>
          </w:tcPr>
          <w:p w14:paraId="70FE9DA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投诉到翔业集团内部监管部门</w:t>
            </w:r>
          </w:p>
        </w:tc>
        <w:tc>
          <w:tcPr>
            <w:tcW w:w="3257" w:type="dxa"/>
          </w:tcPr>
          <w:p w14:paraId="657CBA9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应妥善处理客户不满或者需求，不应让客户向翔业集团监管部门投诉</w:t>
            </w:r>
          </w:p>
        </w:tc>
        <w:tc>
          <w:tcPr>
            <w:tcW w:w="1787" w:type="dxa"/>
            <w:noWrap/>
          </w:tcPr>
          <w:p w14:paraId="75701E74">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服务商无法证明情况不属实</w:t>
            </w:r>
          </w:p>
        </w:tc>
        <w:tc>
          <w:tcPr>
            <w:tcW w:w="2139" w:type="dxa"/>
          </w:tcPr>
          <w:p w14:paraId="598ACAFD">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20000元/次</w:t>
            </w:r>
          </w:p>
        </w:tc>
      </w:tr>
      <w:tr w14:paraId="62FD2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485" w:type="dxa"/>
            <w:noWrap/>
          </w:tcPr>
          <w:p w14:paraId="36582081">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26</w:t>
            </w:r>
          </w:p>
        </w:tc>
        <w:tc>
          <w:tcPr>
            <w:tcW w:w="1068" w:type="dxa"/>
            <w:vMerge w:val="continue"/>
          </w:tcPr>
          <w:p w14:paraId="0A7BB138">
            <w:pPr>
              <w:widowControl/>
              <w:jc w:val="left"/>
              <w:rPr>
                <w:rFonts w:ascii="宋体" w:hAnsi="宋体" w:cs="宋体"/>
                <w:color w:val="auto"/>
                <w:kern w:val="0"/>
                <w:sz w:val="18"/>
                <w:szCs w:val="18"/>
                <w:highlight w:val="none"/>
              </w:rPr>
            </w:pPr>
          </w:p>
        </w:tc>
        <w:tc>
          <w:tcPr>
            <w:tcW w:w="1067" w:type="dxa"/>
          </w:tcPr>
          <w:p w14:paraId="689111C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3、投诉至社会监管部门（如工商局等）并得到证实</w:t>
            </w:r>
          </w:p>
        </w:tc>
        <w:tc>
          <w:tcPr>
            <w:tcW w:w="936" w:type="dxa"/>
          </w:tcPr>
          <w:p w14:paraId="7081171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投诉到社会监管部门</w:t>
            </w:r>
          </w:p>
        </w:tc>
        <w:tc>
          <w:tcPr>
            <w:tcW w:w="3257" w:type="dxa"/>
          </w:tcPr>
          <w:p w14:paraId="64EAA567">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应妥善处理客户不满或者需求，不应让客户社会监管部门投诉</w:t>
            </w:r>
          </w:p>
        </w:tc>
        <w:tc>
          <w:tcPr>
            <w:tcW w:w="1787" w:type="dxa"/>
          </w:tcPr>
          <w:p w14:paraId="54940649">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服务商无法取得社会监管部门撤诉</w:t>
            </w:r>
          </w:p>
        </w:tc>
        <w:tc>
          <w:tcPr>
            <w:tcW w:w="2139" w:type="dxa"/>
          </w:tcPr>
          <w:p w14:paraId="5FCF348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40000元/次</w:t>
            </w:r>
          </w:p>
        </w:tc>
      </w:tr>
      <w:tr w14:paraId="3B1CF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jc w:val="center"/>
        </w:trPr>
        <w:tc>
          <w:tcPr>
            <w:tcW w:w="485" w:type="dxa"/>
            <w:tcBorders>
              <w:bottom w:val="single" w:color="000000" w:sz="4" w:space="0"/>
            </w:tcBorders>
            <w:noWrap/>
          </w:tcPr>
          <w:p w14:paraId="20B6CC8F">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27</w:t>
            </w:r>
          </w:p>
        </w:tc>
        <w:tc>
          <w:tcPr>
            <w:tcW w:w="1068" w:type="dxa"/>
            <w:vMerge w:val="continue"/>
            <w:tcBorders>
              <w:bottom w:val="single" w:color="000000" w:sz="4" w:space="0"/>
            </w:tcBorders>
          </w:tcPr>
          <w:p w14:paraId="36F090E9">
            <w:pPr>
              <w:widowControl/>
              <w:jc w:val="left"/>
              <w:rPr>
                <w:rFonts w:ascii="宋体" w:hAnsi="宋体" w:cs="宋体"/>
                <w:color w:val="auto"/>
                <w:kern w:val="0"/>
                <w:sz w:val="18"/>
                <w:szCs w:val="18"/>
                <w:highlight w:val="none"/>
              </w:rPr>
            </w:pPr>
          </w:p>
        </w:tc>
        <w:tc>
          <w:tcPr>
            <w:tcW w:w="1067" w:type="dxa"/>
            <w:tcBorders>
              <w:bottom w:val="single" w:color="000000" w:sz="4" w:space="0"/>
            </w:tcBorders>
          </w:tcPr>
          <w:p w14:paraId="63C152C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4、投诉至社会媒体并被曝光（如报纸、杂志、电视广播、主流官网等）                                       </w:t>
            </w:r>
          </w:p>
        </w:tc>
        <w:tc>
          <w:tcPr>
            <w:tcW w:w="936" w:type="dxa"/>
            <w:tcBorders>
              <w:bottom w:val="single" w:color="000000" w:sz="4" w:space="0"/>
            </w:tcBorders>
          </w:tcPr>
          <w:p w14:paraId="6AD5BEDC">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投诉至社会媒体并被曝光（如报纸、杂志、电视广播、主流官网等）                                       </w:t>
            </w:r>
          </w:p>
        </w:tc>
        <w:tc>
          <w:tcPr>
            <w:tcW w:w="3257" w:type="dxa"/>
            <w:tcBorders>
              <w:bottom w:val="single" w:color="000000" w:sz="4" w:space="0"/>
            </w:tcBorders>
          </w:tcPr>
          <w:p w14:paraId="17410B0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应妥善处理客户不满或者需求，不应让客户投诉到社会媒体</w:t>
            </w:r>
          </w:p>
        </w:tc>
        <w:tc>
          <w:tcPr>
            <w:tcW w:w="1787" w:type="dxa"/>
            <w:tcBorders>
              <w:bottom w:val="single" w:color="000000" w:sz="4" w:space="0"/>
            </w:tcBorders>
          </w:tcPr>
          <w:p w14:paraId="544D121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报纸、杂志、电视广播、主流官网等曝光了事情</w:t>
            </w:r>
          </w:p>
        </w:tc>
        <w:tc>
          <w:tcPr>
            <w:tcW w:w="2139" w:type="dxa"/>
            <w:tcBorders>
              <w:bottom w:val="single" w:color="000000" w:sz="4" w:space="0"/>
            </w:tcBorders>
          </w:tcPr>
          <w:p w14:paraId="5AA1E2F2">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200000元/次</w:t>
            </w:r>
          </w:p>
        </w:tc>
      </w:tr>
      <w:tr w14:paraId="387BF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485" w:type="dxa"/>
          </w:tcPr>
          <w:p w14:paraId="64ED8123">
            <w:pPr>
              <w:rPr>
                <w:rFonts w:ascii="宋体" w:hAnsi="宋体"/>
                <w:color w:val="auto"/>
                <w:kern w:val="0"/>
                <w:sz w:val="18"/>
                <w:szCs w:val="18"/>
                <w:highlight w:val="none"/>
              </w:rPr>
            </w:pPr>
            <w:r>
              <w:rPr>
                <w:rFonts w:hint="eastAsia" w:ascii="宋体" w:hAnsi="宋体"/>
                <w:color w:val="auto"/>
                <w:kern w:val="0"/>
                <w:sz w:val="18"/>
                <w:szCs w:val="18"/>
                <w:highlight w:val="none"/>
              </w:rPr>
              <w:t>28</w:t>
            </w:r>
          </w:p>
        </w:tc>
        <w:tc>
          <w:tcPr>
            <w:tcW w:w="1068" w:type="dxa"/>
          </w:tcPr>
          <w:p w14:paraId="3A8A4675">
            <w:pPr>
              <w:rPr>
                <w:rFonts w:ascii="宋体" w:hAnsi="宋体"/>
                <w:color w:val="auto"/>
                <w:kern w:val="0"/>
                <w:sz w:val="18"/>
                <w:szCs w:val="18"/>
                <w:highlight w:val="none"/>
              </w:rPr>
            </w:pPr>
            <w:r>
              <w:rPr>
                <w:rFonts w:hint="eastAsia" w:ascii="宋体" w:hAnsi="宋体"/>
                <w:color w:val="auto"/>
                <w:kern w:val="0"/>
                <w:sz w:val="18"/>
                <w:szCs w:val="18"/>
                <w:highlight w:val="none"/>
              </w:rPr>
              <w:t>考核违约金缴交或履约保证金扣划</w:t>
            </w:r>
          </w:p>
        </w:tc>
        <w:tc>
          <w:tcPr>
            <w:tcW w:w="1067" w:type="dxa"/>
          </w:tcPr>
          <w:p w14:paraId="7708DECB">
            <w:pPr>
              <w:ind w:right="-107" w:rightChars="-51"/>
              <w:rPr>
                <w:rFonts w:ascii="宋体" w:hAnsi="宋体"/>
                <w:color w:val="auto"/>
                <w:kern w:val="0"/>
                <w:sz w:val="18"/>
                <w:szCs w:val="18"/>
                <w:highlight w:val="none"/>
              </w:rPr>
            </w:pPr>
            <w:r>
              <w:rPr>
                <w:rFonts w:hint="eastAsia" w:ascii="宋体" w:hAnsi="宋体"/>
                <w:color w:val="auto"/>
                <w:kern w:val="0"/>
                <w:sz w:val="18"/>
                <w:szCs w:val="18"/>
                <w:highlight w:val="none"/>
              </w:rPr>
              <w:t>收到考核表后30个日历日内交清考核款项</w:t>
            </w:r>
          </w:p>
        </w:tc>
        <w:tc>
          <w:tcPr>
            <w:tcW w:w="936" w:type="dxa"/>
          </w:tcPr>
          <w:p w14:paraId="12EB047D">
            <w:pPr>
              <w:rPr>
                <w:rFonts w:ascii="宋体" w:hAnsi="宋体"/>
                <w:color w:val="auto"/>
                <w:kern w:val="0"/>
                <w:sz w:val="18"/>
                <w:szCs w:val="18"/>
                <w:highlight w:val="none"/>
              </w:rPr>
            </w:pPr>
            <w:r>
              <w:rPr>
                <w:rFonts w:hint="eastAsia" w:ascii="宋体" w:hAnsi="宋体"/>
                <w:color w:val="auto"/>
                <w:kern w:val="0"/>
                <w:sz w:val="18"/>
                <w:szCs w:val="18"/>
                <w:highlight w:val="none"/>
              </w:rPr>
              <w:t>违约金缴交</w:t>
            </w:r>
          </w:p>
        </w:tc>
        <w:tc>
          <w:tcPr>
            <w:tcW w:w="3257" w:type="dxa"/>
          </w:tcPr>
          <w:p w14:paraId="7EC585D6">
            <w:pPr>
              <w:rPr>
                <w:rFonts w:ascii="宋体" w:hAnsi="宋体"/>
                <w:color w:val="auto"/>
                <w:kern w:val="0"/>
                <w:sz w:val="18"/>
                <w:szCs w:val="18"/>
                <w:highlight w:val="none"/>
              </w:rPr>
            </w:pPr>
            <w:r>
              <w:rPr>
                <w:rFonts w:hint="eastAsia" w:ascii="宋体" w:hAnsi="宋体"/>
                <w:color w:val="auto"/>
                <w:kern w:val="0"/>
                <w:sz w:val="18"/>
                <w:szCs w:val="18"/>
                <w:highlight w:val="none"/>
              </w:rPr>
              <w:t>服务商应在收到万翔网商发出考核表后的30个日历日内交清违约金，交完后将付款情况告知万翔网商对应的采购专员。</w:t>
            </w:r>
          </w:p>
        </w:tc>
        <w:tc>
          <w:tcPr>
            <w:tcW w:w="1787" w:type="dxa"/>
          </w:tcPr>
          <w:p w14:paraId="7929DBA2">
            <w:pPr>
              <w:rPr>
                <w:rFonts w:ascii="宋体" w:hAnsi="宋体"/>
                <w:color w:val="auto"/>
                <w:kern w:val="0"/>
                <w:sz w:val="18"/>
                <w:szCs w:val="18"/>
                <w:highlight w:val="none"/>
              </w:rPr>
            </w:pPr>
            <w:r>
              <w:rPr>
                <w:rFonts w:hint="eastAsia" w:ascii="宋体" w:hAnsi="宋体"/>
                <w:color w:val="auto"/>
                <w:kern w:val="0"/>
                <w:sz w:val="18"/>
                <w:szCs w:val="18"/>
                <w:highlight w:val="none"/>
              </w:rPr>
              <w:t>未按要求时效和金额缴交违约金</w:t>
            </w:r>
          </w:p>
        </w:tc>
        <w:tc>
          <w:tcPr>
            <w:tcW w:w="2139" w:type="dxa"/>
          </w:tcPr>
          <w:p w14:paraId="3459887F">
            <w:pPr>
              <w:rPr>
                <w:rFonts w:ascii="宋体" w:hAnsi="宋体"/>
                <w:color w:val="auto"/>
                <w:kern w:val="0"/>
                <w:sz w:val="18"/>
                <w:szCs w:val="18"/>
                <w:highlight w:val="none"/>
              </w:rPr>
            </w:pPr>
            <w:r>
              <w:rPr>
                <w:rFonts w:hint="eastAsia" w:ascii="宋体" w:hAnsi="宋体"/>
                <w:color w:val="auto"/>
                <w:kern w:val="0"/>
                <w:sz w:val="18"/>
                <w:szCs w:val="18"/>
                <w:highlight w:val="none"/>
              </w:rPr>
              <w:t>超过30个日历日按双倍计收违约金</w:t>
            </w:r>
          </w:p>
        </w:tc>
      </w:tr>
    </w:tbl>
    <w:p w14:paraId="01C20CE4">
      <w:pPr>
        <w:ind w:firstLine="480" w:firstLineChars="200"/>
        <w:rPr>
          <w:rFonts w:ascii="宋体" w:hAnsi="宋体"/>
          <w:color w:val="auto"/>
          <w:sz w:val="24"/>
          <w:szCs w:val="24"/>
          <w:highlight w:val="none"/>
        </w:rPr>
      </w:pPr>
      <w:r>
        <w:rPr>
          <w:rFonts w:ascii="宋体" w:hAnsi="宋体"/>
          <w:color w:val="auto"/>
          <w:sz w:val="24"/>
          <w:szCs w:val="24"/>
          <w:highlight w:val="none"/>
        </w:rPr>
        <w:t>  </w:t>
      </w:r>
    </w:p>
    <w:p w14:paraId="73E35AF6">
      <w:pPr>
        <w:rPr>
          <w:rFonts w:ascii="宋体" w:hAnsi="宋体"/>
          <w:color w:val="auto"/>
          <w:sz w:val="24"/>
          <w:szCs w:val="24"/>
          <w:highlight w:val="none"/>
        </w:rPr>
      </w:pPr>
    </w:p>
    <w:p w14:paraId="512054F1">
      <w:pPr>
        <w:rPr>
          <w:rFonts w:ascii="宋体" w:hAnsi="宋体"/>
          <w:color w:val="auto"/>
          <w:sz w:val="24"/>
          <w:szCs w:val="24"/>
          <w:highlight w:val="none"/>
        </w:rPr>
      </w:pPr>
    </w:p>
    <w:p w14:paraId="209F87A7">
      <w:pPr>
        <w:rPr>
          <w:rFonts w:ascii="宋体" w:hAnsi="宋体"/>
          <w:color w:val="auto"/>
          <w:sz w:val="24"/>
          <w:szCs w:val="24"/>
          <w:highlight w:val="none"/>
        </w:rPr>
        <w:sectPr>
          <w:pgSz w:w="11906" w:h="16838"/>
          <w:pgMar w:top="1440" w:right="1800" w:bottom="1440" w:left="1800" w:header="851" w:footer="992" w:gutter="0"/>
          <w:cols w:space="720" w:num="1"/>
          <w:docGrid w:type="lines" w:linePitch="312" w:charSpace="0"/>
        </w:sectPr>
      </w:pPr>
    </w:p>
    <w:p w14:paraId="1D0C5615">
      <w:pPr>
        <w:rPr>
          <w:rFonts w:ascii="宋体" w:hAnsi="宋体" w:cs="宋体"/>
          <w:b/>
          <w:bCs/>
          <w:color w:val="auto"/>
          <w:sz w:val="24"/>
          <w:szCs w:val="24"/>
          <w:highlight w:val="none"/>
        </w:rPr>
      </w:pPr>
      <w:r>
        <w:rPr>
          <w:rFonts w:hint="eastAsia" w:ascii="宋体" w:hAnsi="宋体"/>
          <w:b/>
          <w:bCs/>
          <w:color w:val="auto"/>
          <w:sz w:val="24"/>
          <w:szCs w:val="24"/>
          <w:highlight w:val="none"/>
        </w:rPr>
        <w:t>附件3：</w:t>
      </w:r>
      <w:r>
        <w:rPr>
          <w:rFonts w:hint="eastAsia" w:ascii="宋体" w:hAnsi="宋体" w:cs="宋体"/>
          <w:b/>
          <w:bCs/>
          <w:color w:val="auto"/>
          <w:sz w:val="24"/>
          <w:szCs w:val="24"/>
          <w:highlight w:val="none"/>
        </w:rPr>
        <w:t>安装费用收费标准</w:t>
      </w:r>
    </w:p>
    <w:p w14:paraId="4AA3718D">
      <w:pPr>
        <w:rPr>
          <w:rFonts w:ascii="宋体" w:hAnsi="宋体" w:cs="宋体"/>
          <w:b/>
          <w:bCs/>
          <w:color w:val="auto"/>
          <w:sz w:val="24"/>
          <w:szCs w:val="24"/>
          <w:highlight w:val="none"/>
        </w:rPr>
      </w:pPr>
      <w:r>
        <w:rPr>
          <w:rFonts w:ascii="宋体" w:hAnsi="宋体" w:cs="宋体"/>
          <w:b/>
          <w:bCs/>
          <w:color w:val="auto"/>
          <w:sz w:val="24"/>
          <w:szCs w:val="24"/>
          <w:highlight w:val="none"/>
        </w:rPr>
        <w:t>   </w:t>
      </w:r>
    </w:p>
    <w:tbl>
      <w:tblPr>
        <w:tblStyle w:val="12"/>
        <w:tblW w:w="0" w:type="auto"/>
        <w:tblInd w:w="0" w:type="dxa"/>
        <w:tblLayout w:type="fixed"/>
        <w:tblCellMar>
          <w:top w:w="0" w:type="dxa"/>
          <w:left w:w="108" w:type="dxa"/>
          <w:bottom w:w="0" w:type="dxa"/>
          <w:right w:w="108" w:type="dxa"/>
        </w:tblCellMar>
      </w:tblPr>
      <w:tblGrid>
        <w:gridCol w:w="2125"/>
        <w:gridCol w:w="4977"/>
        <w:gridCol w:w="1194"/>
      </w:tblGrid>
      <w:tr w14:paraId="248BA60A">
        <w:tblPrEx>
          <w:tblCellMar>
            <w:top w:w="0" w:type="dxa"/>
            <w:left w:w="108" w:type="dxa"/>
            <w:bottom w:w="0" w:type="dxa"/>
            <w:right w:w="108" w:type="dxa"/>
          </w:tblCellMar>
        </w:tblPrEx>
        <w:trPr>
          <w:trHeight w:val="555" w:hRule="atLeast"/>
        </w:trPr>
        <w:tc>
          <w:tcPr>
            <w:tcW w:w="2125" w:type="dxa"/>
            <w:tcBorders>
              <w:top w:val="single" w:color="auto" w:sz="4" w:space="0"/>
              <w:left w:val="single" w:color="auto" w:sz="4" w:space="0"/>
              <w:bottom w:val="single" w:color="auto" w:sz="4" w:space="0"/>
              <w:right w:val="single" w:color="auto" w:sz="4" w:space="0"/>
            </w:tcBorders>
            <w:vAlign w:val="center"/>
          </w:tcPr>
          <w:p w14:paraId="6E4DADBC">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费用名称</w:t>
            </w:r>
          </w:p>
        </w:tc>
        <w:tc>
          <w:tcPr>
            <w:tcW w:w="4977" w:type="dxa"/>
            <w:tcBorders>
              <w:top w:val="single" w:color="auto" w:sz="4" w:space="0"/>
              <w:left w:val="nil"/>
              <w:bottom w:val="single" w:color="auto" w:sz="4" w:space="0"/>
              <w:right w:val="single" w:color="auto" w:sz="4" w:space="0"/>
            </w:tcBorders>
            <w:vAlign w:val="center"/>
          </w:tcPr>
          <w:p w14:paraId="1AB21DEF">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区域范围</w:t>
            </w:r>
          </w:p>
        </w:tc>
        <w:tc>
          <w:tcPr>
            <w:tcW w:w="1194" w:type="dxa"/>
            <w:tcBorders>
              <w:top w:val="single" w:color="auto" w:sz="4" w:space="0"/>
              <w:left w:val="nil"/>
              <w:bottom w:val="single" w:color="auto" w:sz="4" w:space="0"/>
              <w:right w:val="single" w:color="auto" w:sz="4" w:space="0"/>
            </w:tcBorders>
            <w:vAlign w:val="center"/>
          </w:tcPr>
          <w:p w14:paraId="6A9B8145">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收费标准</w:t>
            </w:r>
          </w:p>
        </w:tc>
      </w:tr>
      <w:tr w14:paraId="1CC5C8A7">
        <w:tblPrEx>
          <w:tblCellMar>
            <w:top w:w="0" w:type="dxa"/>
            <w:left w:w="108" w:type="dxa"/>
            <w:bottom w:w="0" w:type="dxa"/>
            <w:right w:w="108" w:type="dxa"/>
          </w:tblCellMar>
        </w:tblPrEx>
        <w:trPr>
          <w:trHeight w:val="332" w:hRule="atLeast"/>
        </w:trPr>
        <w:tc>
          <w:tcPr>
            <w:tcW w:w="2125" w:type="dxa"/>
            <w:vMerge w:val="restart"/>
            <w:tcBorders>
              <w:top w:val="nil"/>
              <w:left w:val="single" w:color="auto" w:sz="4" w:space="0"/>
              <w:bottom w:val="single" w:color="auto" w:sz="4" w:space="0"/>
              <w:right w:val="single" w:color="auto" w:sz="4" w:space="0"/>
            </w:tcBorders>
            <w:vAlign w:val="center"/>
          </w:tcPr>
          <w:p w14:paraId="72B227F8">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安装费用</w:t>
            </w:r>
          </w:p>
        </w:tc>
        <w:tc>
          <w:tcPr>
            <w:tcW w:w="4977" w:type="dxa"/>
            <w:tcBorders>
              <w:top w:val="nil"/>
              <w:left w:val="nil"/>
              <w:bottom w:val="single" w:color="auto" w:sz="4" w:space="0"/>
              <w:right w:val="single" w:color="auto" w:sz="4" w:space="0"/>
            </w:tcBorders>
            <w:vAlign w:val="center"/>
          </w:tcPr>
          <w:p w14:paraId="571BDF1D">
            <w:pPr>
              <w:shd w:val="clear" w:color="auto" w:fill="FFFFFF"/>
              <w:rPr>
                <w:rFonts w:ascii="宋体" w:hAnsi="宋体" w:cs="宋体"/>
                <w:color w:val="auto"/>
                <w:szCs w:val="21"/>
                <w:highlight w:val="none"/>
              </w:rPr>
            </w:pPr>
            <w:r>
              <w:rPr>
                <w:rFonts w:hint="eastAsia" w:ascii="宋体" w:hAnsi="宋体" w:cs="宋体"/>
                <w:color w:val="auto"/>
                <w:szCs w:val="21"/>
                <w:highlight w:val="none"/>
              </w:rPr>
              <w:t>厦门市全区、福州市区内、莆田市区内、泉州市区内、漳州市区内、龙岩市区内、三明市区内、南平市区内和宁德市区内（福建省各地市区外划分详见该表格备注栏）</w:t>
            </w:r>
          </w:p>
        </w:tc>
        <w:tc>
          <w:tcPr>
            <w:tcW w:w="1194" w:type="dxa"/>
            <w:tcBorders>
              <w:top w:val="nil"/>
              <w:left w:val="nil"/>
              <w:bottom w:val="single" w:color="auto" w:sz="4" w:space="0"/>
              <w:right w:val="single" w:color="auto" w:sz="4" w:space="0"/>
            </w:tcBorders>
            <w:vAlign w:val="center"/>
          </w:tcPr>
          <w:p w14:paraId="276A77BF">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免费</w:t>
            </w:r>
          </w:p>
        </w:tc>
      </w:tr>
      <w:tr w14:paraId="1C32F7A9">
        <w:tblPrEx>
          <w:tblCellMar>
            <w:top w:w="0" w:type="dxa"/>
            <w:left w:w="108" w:type="dxa"/>
            <w:bottom w:w="0" w:type="dxa"/>
            <w:right w:w="108" w:type="dxa"/>
          </w:tblCellMar>
        </w:tblPrEx>
        <w:trPr>
          <w:trHeight w:val="332" w:hRule="atLeast"/>
        </w:trPr>
        <w:tc>
          <w:tcPr>
            <w:tcW w:w="2125" w:type="dxa"/>
            <w:vMerge w:val="continue"/>
            <w:tcBorders>
              <w:top w:val="nil"/>
              <w:left w:val="single" w:color="auto" w:sz="4" w:space="0"/>
              <w:bottom w:val="single" w:color="auto" w:sz="4" w:space="0"/>
              <w:right w:val="single" w:color="auto" w:sz="4" w:space="0"/>
            </w:tcBorders>
            <w:vAlign w:val="center"/>
          </w:tcPr>
          <w:p w14:paraId="71B2C900">
            <w:pPr>
              <w:widowControl/>
              <w:jc w:val="left"/>
              <w:rPr>
                <w:rFonts w:ascii="宋体" w:hAnsi="宋体" w:cs="宋体"/>
                <w:color w:val="auto"/>
                <w:szCs w:val="21"/>
                <w:highlight w:val="none"/>
              </w:rPr>
            </w:pPr>
          </w:p>
        </w:tc>
        <w:tc>
          <w:tcPr>
            <w:tcW w:w="4977" w:type="dxa"/>
            <w:tcBorders>
              <w:top w:val="nil"/>
              <w:left w:val="nil"/>
              <w:bottom w:val="single" w:color="auto" w:sz="4" w:space="0"/>
              <w:right w:val="single" w:color="auto" w:sz="4" w:space="0"/>
            </w:tcBorders>
            <w:vAlign w:val="center"/>
          </w:tcPr>
          <w:p w14:paraId="30149ADC">
            <w:pPr>
              <w:shd w:val="clear" w:color="auto" w:fill="FFFFFF"/>
              <w:rPr>
                <w:rFonts w:ascii="宋体" w:hAnsi="宋体" w:cs="宋体"/>
                <w:color w:val="auto"/>
                <w:szCs w:val="21"/>
                <w:highlight w:val="none"/>
              </w:rPr>
            </w:pPr>
            <w:r>
              <w:rPr>
                <w:rFonts w:hint="eastAsia" w:ascii="宋体" w:hAnsi="宋体" w:cs="宋体"/>
                <w:color w:val="auto"/>
                <w:szCs w:val="21"/>
                <w:highlight w:val="none"/>
              </w:rPr>
              <w:t>福州市区外、莆田市区外、泉州市区外、漳州市区外、龙岩市区外、三明市区外、南平市区外和宁德市区外（福建省各地市区外划分详见该表格备注栏）</w:t>
            </w:r>
          </w:p>
        </w:tc>
        <w:tc>
          <w:tcPr>
            <w:tcW w:w="1194" w:type="dxa"/>
            <w:tcBorders>
              <w:top w:val="nil"/>
              <w:left w:val="nil"/>
              <w:bottom w:val="single" w:color="auto" w:sz="4" w:space="0"/>
              <w:right w:val="single" w:color="auto" w:sz="4" w:space="0"/>
            </w:tcBorders>
            <w:vAlign w:val="center"/>
          </w:tcPr>
          <w:p w14:paraId="30E379E8">
            <w:pPr>
              <w:shd w:val="clear" w:color="auto" w:fill="FFFFFF"/>
              <w:jc w:val="center"/>
              <w:rPr>
                <w:rFonts w:ascii="宋体" w:hAnsi="宋体" w:cs="宋体"/>
                <w:color w:val="auto"/>
                <w:szCs w:val="21"/>
                <w:highlight w:val="none"/>
              </w:rPr>
            </w:pPr>
            <w:r>
              <w:rPr>
                <w:rFonts w:hint="eastAsia" w:ascii="宋体" w:hAnsi="宋体" w:cs="宋体"/>
                <w:color w:val="auto"/>
                <w:szCs w:val="21"/>
                <w:highlight w:val="none"/>
              </w:rPr>
              <w:t>79元/台</w:t>
            </w:r>
          </w:p>
        </w:tc>
      </w:tr>
      <w:tr w14:paraId="1504ED3E">
        <w:tblPrEx>
          <w:tblCellMar>
            <w:top w:w="0" w:type="dxa"/>
            <w:left w:w="108" w:type="dxa"/>
            <w:bottom w:w="0" w:type="dxa"/>
            <w:right w:w="108" w:type="dxa"/>
          </w:tblCellMar>
        </w:tblPrEx>
        <w:trPr>
          <w:trHeight w:val="1140" w:hRule="atLeast"/>
        </w:trPr>
        <w:tc>
          <w:tcPr>
            <w:tcW w:w="8296" w:type="dxa"/>
            <w:gridSpan w:val="3"/>
            <w:tcBorders>
              <w:top w:val="single" w:color="auto" w:sz="4" w:space="0"/>
              <w:left w:val="single" w:color="auto" w:sz="4" w:space="0"/>
              <w:bottom w:val="single" w:color="auto" w:sz="4" w:space="0"/>
              <w:right w:val="single" w:color="auto" w:sz="4" w:space="0"/>
            </w:tcBorders>
            <w:vAlign w:val="center"/>
          </w:tcPr>
          <w:p w14:paraId="0A260424">
            <w:pPr>
              <w:shd w:val="clear" w:color="auto" w:fill="FFFFFF"/>
              <w:rPr>
                <w:rFonts w:ascii="宋体" w:hAnsi="宋体" w:cs="宋体"/>
                <w:color w:val="auto"/>
                <w:szCs w:val="21"/>
                <w:highlight w:val="none"/>
              </w:rPr>
            </w:pPr>
            <w:r>
              <w:rPr>
                <w:rFonts w:hint="eastAsia" w:ascii="宋体" w:hAnsi="宋体" w:cs="宋体"/>
                <w:color w:val="auto"/>
                <w:szCs w:val="21"/>
                <w:highlight w:val="none"/>
              </w:rPr>
              <w:t>备注：福建省各地市的区内/区外划分</w:t>
            </w:r>
          </w:p>
          <w:tbl>
            <w:tblPr>
              <w:tblStyle w:val="12"/>
              <w:tblW w:w="0" w:type="auto"/>
              <w:tblInd w:w="0" w:type="dxa"/>
              <w:tblLayout w:type="fixed"/>
              <w:tblCellMar>
                <w:top w:w="0" w:type="dxa"/>
                <w:left w:w="108" w:type="dxa"/>
                <w:bottom w:w="0" w:type="dxa"/>
                <w:right w:w="108" w:type="dxa"/>
              </w:tblCellMar>
            </w:tblPr>
            <w:tblGrid>
              <w:gridCol w:w="1014"/>
              <w:gridCol w:w="993"/>
              <w:gridCol w:w="6053"/>
            </w:tblGrid>
            <w:tr w14:paraId="3FB1ABDD">
              <w:trPr>
                <w:trHeight w:val="375"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14:paraId="143A861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厦门</w:t>
                  </w:r>
                </w:p>
              </w:tc>
              <w:tc>
                <w:tcPr>
                  <w:tcW w:w="993" w:type="dxa"/>
                  <w:tcBorders>
                    <w:top w:val="single" w:color="auto" w:sz="8" w:space="0"/>
                    <w:left w:val="nil"/>
                    <w:bottom w:val="single" w:color="auto" w:sz="8" w:space="0"/>
                    <w:right w:val="single" w:color="auto" w:sz="8" w:space="0"/>
                  </w:tcBorders>
                  <w:vAlign w:val="center"/>
                </w:tcPr>
                <w:p w14:paraId="24A2444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岛内</w:t>
                  </w:r>
                </w:p>
              </w:tc>
              <w:tc>
                <w:tcPr>
                  <w:tcW w:w="6053" w:type="dxa"/>
                  <w:tcBorders>
                    <w:top w:val="single" w:color="auto" w:sz="8" w:space="0"/>
                    <w:left w:val="nil"/>
                    <w:bottom w:val="single" w:color="auto" w:sz="8" w:space="0"/>
                    <w:right w:val="single" w:color="auto" w:sz="8" w:space="0"/>
                  </w:tcBorders>
                  <w:vAlign w:val="center"/>
                </w:tcPr>
                <w:p w14:paraId="0E919F69">
                  <w:pPr>
                    <w:widowControl/>
                    <w:rPr>
                      <w:rFonts w:ascii="宋体" w:hAnsi="宋体" w:cs="宋体"/>
                      <w:color w:val="auto"/>
                      <w:kern w:val="0"/>
                      <w:szCs w:val="21"/>
                      <w:highlight w:val="none"/>
                    </w:rPr>
                  </w:pPr>
                  <w:r>
                    <w:rPr>
                      <w:rFonts w:hint="eastAsia" w:ascii="宋体" w:hAnsi="宋体" w:cs="宋体"/>
                      <w:color w:val="auto"/>
                      <w:kern w:val="0"/>
                      <w:szCs w:val="21"/>
                      <w:highlight w:val="none"/>
                    </w:rPr>
                    <w:t>思明区、湖里区</w:t>
                  </w:r>
                </w:p>
              </w:tc>
            </w:tr>
            <w:tr w14:paraId="5BADE0E5">
              <w:tblPrEx>
                <w:tblCellMar>
                  <w:top w:w="0" w:type="dxa"/>
                  <w:left w:w="108" w:type="dxa"/>
                  <w:bottom w:w="0" w:type="dxa"/>
                  <w:right w:w="108" w:type="dxa"/>
                </w:tblCellMar>
              </w:tblPrEx>
              <w:trPr>
                <w:trHeight w:val="40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14:paraId="13E4F9B8">
                  <w:pPr>
                    <w:widowControl/>
                    <w:jc w:val="left"/>
                    <w:rPr>
                      <w:rFonts w:ascii="宋体" w:hAnsi="宋体" w:cs="宋体"/>
                      <w:color w:val="auto"/>
                      <w:kern w:val="0"/>
                      <w:szCs w:val="21"/>
                      <w:highlight w:val="none"/>
                    </w:rPr>
                  </w:pPr>
                </w:p>
              </w:tc>
              <w:tc>
                <w:tcPr>
                  <w:tcW w:w="993" w:type="dxa"/>
                  <w:tcBorders>
                    <w:top w:val="single" w:color="auto" w:sz="8" w:space="0"/>
                    <w:left w:val="nil"/>
                    <w:bottom w:val="single" w:color="auto" w:sz="8" w:space="0"/>
                    <w:right w:val="single" w:color="auto" w:sz="8" w:space="0"/>
                  </w:tcBorders>
                  <w:vAlign w:val="center"/>
                </w:tcPr>
                <w:p w14:paraId="22DA5CF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岛外</w:t>
                  </w:r>
                </w:p>
              </w:tc>
              <w:tc>
                <w:tcPr>
                  <w:tcW w:w="6053" w:type="dxa"/>
                  <w:tcBorders>
                    <w:top w:val="single" w:color="auto" w:sz="8" w:space="0"/>
                    <w:left w:val="nil"/>
                    <w:bottom w:val="single" w:color="auto" w:sz="8" w:space="0"/>
                    <w:right w:val="single" w:color="auto" w:sz="8" w:space="0"/>
                  </w:tcBorders>
                  <w:vAlign w:val="center"/>
                </w:tcPr>
                <w:p w14:paraId="308FC9E4">
                  <w:pPr>
                    <w:widowControl/>
                    <w:rPr>
                      <w:rFonts w:ascii="宋体" w:hAnsi="宋体" w:cs="宋体"/>
                      <w:color w:val="auto"/>
                      <w:kern w:val="0"/>
                      <w:szCs w:val="21"/>
                      <w:highlight w:val="none"/>
                    </w:rPr>
                  </w:pPr>
                  <w:r>
                    <w:rPr>
                      <w:rFonts w:hint="eastAsia" w:ascii="宋体" w:hAnsi="宋体" w:cs="宋体"/>
                      <w:color w:val="auto"/>
                      <w:kern w:val="0"/>
                      <w:szCs w:val="21"/>
                      <w:highlight w:val="none"/>
                    </w:rPr>
                    <w:t>海沧区、集美区、同安区、翔安区等厦门市非岛内范围</w:t>
                  </w:r>
                </w:p>
              </w:tc>
            </w:tr>
            <w:tr w14:paraId="080C2481">
              <w:tblPrEx>
                <w:tblCellMar>
                  <w:top w:w="0" w:type="dxa"/>
                  <w:left w:w="108" w:type="dxa"/>
                  <w:bottom w:w="0" w:type="dxa"/>
                  <w:right w:w="108" w:type="dxa"/>
                </w:tblCellMar>
              </w:tblPrEx>
              <w:trPr>
                <w:trHeight w:val="310"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14:paraId="7C1582B1">
                  <w:pPr>
                    <w:widowControl/>
                    <w:jc w:val="center"/>
                    <w:rPr>
                      <w:rFonts w:ascii="宋体" w:hAnsi="宋体" w:cs="宋体"/>
                      <w:color w:val="auto"/>
                      <w:szCs w:val="21"/>
                      <w:highlight w:val="none"/>
                    </w:rPr>
                  </w:pPr>
                  <w:r>
                    <w:rPr>
                      <w:rFonts w:hint="eastAsia" w:ascii="宋体" w:hAnsi="宋体" w:cs="宋体"/>
                      <w:color w:val="auto"/>
                      <w:kern w:val="0"/>
                      <w:szCs w:val="21"/>
                      <w:highlight w:val="none"/>
                    </w:rPr>
                    <w:t>福州市</w:t>
                  </w:r>
                </w:p>
              </w:tc>
              <w:tc>
                <w:tcPr>
                  <w:tcW w:w="993" w:type="dxa"/>
                  <w:tcBorders>
                    <w:top w:val="single" w:color="auto" w:sz="8" w:space="0"/>
                    <w:left w:val="nil"/>
                    <w:bottom w:val="single" w:color="auto" w:sz="8" w:space="0"/>
                    <w:right w:val="single" w:color="auto" w:sz="8" w:space="0"/>
                  </w:tcBorders>
                  <w:vAlign w:val="center"/>
                </w:tcPr>
                <w:p w14:paraId="5873269C">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single" w:color="auto" w:sz="8" w:space="0"/>
                    <w:left w:val="nil"/>
                    <w:bottom w:val="single" w:color="auto" w:sz="8" w:space="0"/>
                    <w:right w:val="single" w:color="auto" w:sz="8" w:space="0"/>
                  </w:tcBorders>
                  <w:vAlign w:val="center"/>
                </w:tcPr>
                <w:p w14:paraId="41C12F55">
                  <w:pPr>
                    <w:widowControl/>
                    <w:rPr>
                      <w:rFonts w:ascii="宋体" w:hAnsi="宋体" w:cs="宋体"/>
                      <w:color w:val="auto"/>
                      <w:szCs w:val="21"/>
                      <w:highlight w:val="none"/>
                    </w:rPr>
                  </w:pPr>
                  <w:r>
                    <w:rPr>
                      <w:rFonts w:hint="eastAsia" w:ascii="宋体" w:hAnsi="宋体" w:cs="宋体"/>
                      <w:color w:val="auto"/>
                      <w:kern w:val="0"/>
                      <w:szCs w:val="21"/>
                      <w:highlight w:val="none"/>
                    </w:rPr>
                    <w:t>鼓楼区、台江区、仓山区、晋安区、马尾区</w:t>
                  </w:r>
                </w:p>
              </w:tc>
            </w:tr>
            <w:tr w14:paraId="151A95C7">
              <w:tblPrEx>
                <w:tblCellMar>
                  <w:top w:w="0" w:type="dxa"/>
                  <w:left w:w="108" w:type="dxa"/>
                  <w:bottom w:w="0" w:type="dxa"/>
                  <w:right w:w="108" w:type="dxa"/>
                </w:tblCellMar>
              </w:tblPrEx>
              <w:trPr>
                <w:trHeight w:val="61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14:paraId="1FD245D1">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4B544AC4">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5622BBB">
                  <w:pPr>
                    <w:widowControl/>
                    <w:rPr>
                      <w:rFonts w:ascii="宋体" w:hAnsi="宋体" w:cs="宋体"/>
                      <w:color w:val="auto"/>
                      <w:szCs w:val="21"/>
                      <w:highlight w:val="none"/>
                    </w:rPr>
                  </w:pPr>
                  <w:r>
                    <w:rPr>
                      <w:rFonts w:hint="eastAsia" w:ascii="宋体" w:hAnsi="宋体" w:cs="宋体"/>
                      <w:color w:val="auto"/>
                      <w:kern w:val="0"/>
                      <w:szCs w:val="21"/>
                      <w:highlight w:val="none"/>
                    </w:rPr>
                    <w:t>福清市、长乐市、闽侯县、连江县、罗源县、闽清县、永泰县、平潭县等福州市非区内范围</w:t>
                  </w:r>
                </w:p>
              </w:tc>
            </w:tr>
            <w:tr w14:paraId="6D1C7865">
              <w:tblPrEx>
                <w:tblCellMar>
                  <w:top w:w="0" w:type="dxa"/>
                  <w:left w:w="108" w:type="dxa"/>
                  <w:bottom w:w="0" w:type="dxa"/>
                  <w:right w:w="108" w:type="dxa"/>
                </w:tblCellMar>
              </w:tblPrEx>
              <w:trPr>
                <w:trHeight w:val="390" w:hRule="atLeast"/>
              </w:trPr>
              <w:tc>
                <w:tcPr>
                  <w:tcW w:w="1014" w:type="dxa"/>
                  <w:vMerge w:val="restart"/>
                  <w:tcBorders>
                    <w:top w:val="nil"/>
                    <w:left w:val="single" w:color="auto" w:sz="8" w:space="0"/>
                    <w:bottom w:val="single" w:color="auto" w:sz="8" w:space="0"/>
                    <w:right w:val="single" w:color="auto" w:sz="8" w:space="0"/>
                  </w:tcBorders>
                  <w:vAlign w:val="center"/>
                </w:tcPr>
                <w:p w14:paraId="2965E85F">
                  <w:pPr>
                    <w:widowControl/>
                    <w:jc w:val="center"/>
                    <w:rPr>
                      <w:rFonts w:ascii="宋体" w:hAnsi="宋体" w:cs="宋体"/>
                      <w:color w:val="auto"/>
                      <w:szCs w:val="21"/>
                      <w:highlight w:val="none"/>
                    </w:rPr>
                  </w:pPr>
                  <w:r>
                    <w:rPr>
                      <w:rFonts w:hint="eastAsia" w:ascii="宋体" w:hAnsi="宋体" w:cs="宋体"/>
                      <w:color w:val="auto"/>
                      <w:kern w:val="0"/>
                      <w:szCs w:val="21"/>
                      <w:highlight w:val="none"/>
                    </w:rPr>
                    <w:t>莆田市</w:t>
                  </w:r>
                </w:p>
              </w:tc>
              <w:tc>
                <w:tcPr>
                  <w:tcW w:w="993" w:type="dxa"/>
                  <w:tcBorders>
                    <w:top w:val="nil"/>
                    <w:left w:val="nil"/>
                    <w:bottom w:val="single" w:color="auto" w:sz="8" w:space="0"/>
                    <w:right w:val="single" w:color="auto" w:sz="8" w:space="0"/>
                  </w:tcBorders>
                  <w:vAlign w:val="center"/>
                </w:tcPr>
                <w:p w14:paraId="04525CDA">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3F6128AB">
                  <w:pPr>
                    <w:widowControl/>
                    <w:rPr>
                      <w:rFonts w:ascii="宋体" w:hAnsi="宋体" w:cs="宋体"/>
                      <w:color w:val="auto"/>
                      <w:szCs w:val="21"/>
                      <w:highlight w:val="none"/>
                    </w:rPr>
                  </w:pPr>
                  <w:r>
                    <w:rPr>
                      <w:rFonts w:hint="eastAsia" w:ascii="宋体" w:hAnsi="宋体" w:cs="宋体"/>
                      <w:color w:val="auto"/>
                      <w:kern w:val="0"/>
                      <w:szCs w:val="21"/>
                      <w:highlight w:val="none"/>
                    </w:rPr>
                    <w:t>城厢区、荔城区、涵江区</w:t>
                  </w:r>
                </w:p>
              </w:tc>
            </w:tr>
            <w:tr w14:paraId="78E7BA41">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2A7E7E2B">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7E015BBA">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2999BCB">
                  <w:pPr>
                    <w:widowControl/>
                    <w:rPr>
                      <w:rFonts w:ascii="宋体" w:hAnsi="宋体" w:cs="宋体"/>
                      <w:color w:val="auto"/>
                      <w:szCs w:val="21"/>
                      <w:highlight w:val="none"/>
                    </w:rPr>
                  </w:pPr>
                  <w:r>
                    <w:rPr>
                      <w:rFonts w:hint="eastAsia" w:ascii="宋体" w:hAnsi="宋体" w:cs="宋体"/>
                      <w:color w:val="auto"/>
                      <w:kern w:val="0"/>
                      <w:szCs w:val="21"/>
                      <w:highlight w:val="none"/>
                    </w:rPr>
                    <w:t>秀屿区、湄洲岛、仙游县、湄洲湾北岸开发区等莆田市非区内范围</w:t>
                  </w:r>
                </w:p>
              </w:tc>
            </w:tr>
            <w:tr w14:paraId="161415D2">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3C5D2F9C">
                  <w:pPr>
                    <w:widowControl/>
                    <w:jc w:val="center"/>
                    <w:rPr>
                      <w:rFonts w:ascii="宋体" w:hAnsi="宋体" w:cs="宋体"/>
                      <w:color w:val="auto"/>
                      <w:szCs w:val="21"/>
                      <w:highlight w:val="none"/>
                    </w:rPr>
                  </w:pPr>
                  <w:r>
                    <w:rPr>
                      <w:rFonts w:hint="eastAsia" w:ascii="宋体" w:hAnsi="宋体" w:cs="宋体"/>
                      <w:color w:val="auto"/>
                      <w:kern w:val="0"/>
                      <w:szCs w:val="21"/>
                      <w:highlight w:val="none"/>
                    </w:rPr>
                    <w:t>泉州市</w:t>
                  </w:r>
                </w:p>
              </w:tc>
              <w:tc>
                <w:tcPr>
                  <w:tcW w:w="993" w:type="dxa"/>
                  <w:tcBorders>
                    <w:top w:val="nil"/>
                    <w:left w:val="nil"/>
                    <w:bottom w:val="single" w:color="auto" w:sz="8" w:space="0"/>
                    <w:right w:val="single" w:color="auto" w:sz="8" w:space="0"/>
                  </w:tcBorders>
                  <w:vAlign w:val="center"/>
                </w:tcPr>
                <w:p w14:paraId="07F85C49">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1E8C3F48">
                  <w:pPr>
                    <w:widowControl/>
                    <w:rPr>
                      <w:rFonts w:ascii="宋体" w:hAnsi="宋体" w:cs="宋体"/>
                      <w:color w:val="auto"/>
                      <w:szCs w:val="21"/>
                      <w:highlight w:val="none"/>
                    </w:rPr>
                  </w:pPr>
                  <w:r>
                    <w:rPr>
                      <w:rFonts w:hint="eastAsia" w:ascii="宋体" w:hAnsi="宋体" w:cs="宋体"/>
                      <w:color w:val="auto"/>
                      <w:kern w:val="0"/>
                      <w:szCs w:val="21"/>
                      <w:highlight w:val="none"/>
                    </w:rPr>
                    <w:t>鲤城区、丰泽区、洛江区、泉港区</w:t>
                  </w:r>
                </w:p>
              </w:tc>
            </w:tr>
            <w:tr w14:paraId="6EC20DD2">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18EC09CE">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40BC11EC">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E9FFDA8">
                  <w:pPr>
                    <w:widowControl/>
                    <w:rPr>
                      <w:rFonts w:ascii="宋体" w:hAnsi="宋体" w:cs="宋体"/>
                      <w:color w:val="auto"/>
                      <w:szCs w:val="21"/>
                      <w:highlight w:val="none"/>
                    </w:rPr>
                  </w:pPr>
                  <w:r>
                    <w:rPr>
                      <w:rFonts w:hint="eastAsia" w:ascii="宋体" w:hAnsi="宋体" w:cs="宋体"/>
                      <w:color w:val="auto"/>
                      <w:kern w:val="0"/>
                      <w:szCs w:val="21"/>
                      <w:highlight w:val="none"/>
                    </w:rPr>
                    <w:t>晋江市、石狮市、南安市、惠安县、安溪县、永春县、德化县等泉州市非区内范围</w:t>
                  </w:r>
                </w:p>
              </w:tc>
            </w:tr>
            <w:tr w14:paraId="0544E700">
              <w:tblPrEx>
                <w:tblCellMar>
                  <w:top w:w="0" w:type="dxa"/>
                  <w:left w:w="108" w:type="dxa"/>
                  <w:bottom w:w="0" w:type="dxa"/>
                  <w:right w:w="108" w:type="dxa"/>
                </w:tblCellMar>
              </w:tblPrEx>
              <w:trPr>
                <w:trHeight w:val="405" w:hRule="atLeast"/>
              </w:trPr>
              <w:tc>
                <w:tcPr>
                  <w:tcW w:w="1014" w:type="dxa"/>
                  <w:vMerge w:val="restart"/>
                  <w:tcBorders>
                    <w:top w:val="nil"/>
                    <w:left w:val="single" w:color="auto" w:sz="8" w:space="0"/>
                    <w:bottom w:val="single" w:color="auto" w:sz="8" w:space="0"/>
                    <w:right w:val="single" w:color="auto" w:sz="8" w:space="0"/>
                  </w:tcBorders>
                  <w:vAlign w:val="center"/>
                </w:tcPr>
                <w:p w14:paraId="26C80D5C">
                  <w:pPr>
                    <w:widowControl/>
                    <w:jc w:val="center"/>
                    <w:rPr>
                      <w:rFonts w:ascii="宋体" w:hAnsi="宋体" w:cs="宋体"/>
                      <w:color w:val="auto"/>
                      <w:szCs w:val="21"/>
                      <w:highlight w:val="none"/>
                    </w:rPr>
                  </w:pPr>
                  <w:r>
                    <w:rPr>
                      <w:rFonts w:hint="eastAsia" w:ascii="宋体" w:hAnsi="宋体" w:cs="宋体"/>
                      <w:color w:val="auto"/>
                      <w:kern w:val="0"/>
                      <w:szCs w:val="21"/>
                      <w:highlight w:val="none"/>
                    </w:rPr>
                    <w:t>漳州市</w:t>
                  </w:r>
                </w:p>
              </w:tc>
              <w:tc>
                <w:tcPr>
                  <w:tcW w:w="993" w:type="dxa"/>
                  <w:tcBorders>
                    <w:top w:val="nil"/>
                    <w:left w:val="nil"/>
                    <w:bottom w:val="single" w:color="auto" w:sz="8" w:space="0"/>
                    <w:right w:val="single" w:color="auto" w:sz="8" w:space="0"/>
                  </w:tcBorders>
                  <w:vAlign w:val="center"/>
                </w:tcPr>
                <w:p w14:paraId="6035A4D6">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45D36AE2">
                  <w:pPr>
                    <w:widowControl/>
                    <w:rPr>
                      <w:rFonts w:ascii="宋体" w:hAnsi="宋体" w:cs="宋体"/>
                      <w:color w:val="auto"/>
                      <w:szCs w:val="21"/>
                      <w:highlight w:val="none"/>
                    </w:rPr>
                  </w:pPr>
                  <w:r>
                    <w:rPr>
                      <w:rFonts w:hint="eastAsia" w:ascii="宋体" w:hAnsi="宋体" w:cs="宋体"/>
                      <w:color w:val="auto"/>
                      <w:kern w:val="0"/>
                      <w:szCs w:val="21"/>
                      <w:highlight w:val="none"/>
                    </w:rPr>
                    <w:t>芗城区、龙文区</w:t>
                  </w:r>
                </w:p>
              </w:tc>
            </w:tr>
            <w:tr w14:paraId="03439330">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620481BF">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435555DE">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CA5F0F9">
                  <w:pPr>
                    <w:widowControl/>
                    <w:rPr>
                      <w:rFonts w:ascii="宋体" w:hAnsi="宋体" w:cs="宋体"/>
                      <w:color w:val="auto"/>
                      <w:szCs w:val="21"/>
                      <w:highlight w:val="none"/>
                    </w:rPr>
                  </w:pPr>
                  <w:r>
                    <w:rPr>
                      <w:rFonts w:hint="eastAsia" w:ascii="宋体" w:hAnsi="宋体" w:cs="宋体"/>
                      <w:color w:val="auto"/>
                      <w:kern w:val="0"/>
                      <w:szCs w:val="21"/>
                      <w:highlight w:val="none"/>
                    </w:rPr>
                    <w:t>龙海区、云霄县、漳浦县、诏安县、长泰区、东山县、南靖县、平和县、华安县等漳州市非区内范围</w:t>
                  </w:r>
                </w:p>
              </w:tc>
            </w:tr>
            <w:tr w14:paraId="5F0BB74E">
              <w:tblPrEx>
                <w:tblCellMar>
                  <w:top w:w="0" w:type="dxa"/>
                  <w:left w:w="108" w:type="dxa"/>
                  <w:bottom w:w="0" w:type="dxa"/>
                  <w:right w:w="108" w:type="dxa"/>
                </w:tblCellMar>
              </w:tblPrEx>
              <w:trPr>
                <w:trHeight w:val="285" w:hRule="atLeast"/>
              </w:trPr>
              <w:tc>
                <w:tcPr>
                  <w:tcW w:w="1014" w:type="dxa"/>
                  <w:vMerge w:val="restart"/>
                  <w:tcBorders>
                    <w:top w:val="nil"/>
                    <w:left w:val="single" w:color="auto" w:sz="8" w:space="0"/>
                    <w:bottom w:val="single" w:color="auto" w:sz="8" w:space="0"/>
                    <w:right w:val="single" w:color="auto" w:sz="8" w:space="0"/>
                  </w:tcBorders>
                  <w:vAlign w:val="center"/>
                </w:tcPr>
                <w:p w14:paraId="6DED627A">
                  <w:pPr>
                    <w:widowControl/>
                    <w:jc w:val="center"/>
                    <w:rPr>
                      <w:rFonts w:ascii="宋体" w:hAnsi="宋体" w:cs="宋体"/>
                      <w:color w:val="auto"/>
                      <w:szCs w:val="21"/>
                      <w:highlight w:val="none"/>
                    </w:rPr>
                  </w:pPr>
                  <w:r>
                    <w:rPr>
                      <w:rFonts w:hint="eastAsia" w:ascii="宋体" w:hAnsi="宋体" w:cs="宋体"/>
                      <w:color w:val="auto"/>
                      <w:kern w:val="0"/>
                      <w:szCs w:val="21"/>
                      <w:highlight w:val="none"/>
                    </w:rPr>
                    <w:t>龙岩市</w:t>
                  </w:r>
                </w:p>
              </w:tc>
              <w:tc>
                <w:tcPr>
                  <w:tcW w:w="993" w:type="dxa"/>
                  <w:tcBorders>
                    <w:top w:val="nil"/>
                    <w:left w:val="nil"/>
                    <w:bottom w:val="single" w:color="auto" w:sz="8" w:space="0"/>
                    <w:right w:val="single" w:color="auto" w:sz="8" w:space="0"/>
                  </w:tcBorders>
                  <w:vAlign w:val="center"/>
                </w:tcPr>
                <w:p w14:paraId="6702B712">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452D852C">
                  <w:pPr>
                    <w:widowControl/>
                    <w:rPr>
                      <w:rFonts w:ascii="宋体" w:hAnsi="宋体" w:cs="宋体"/>
                      <w:color w:val="auto"/>
                      <w:szCs w:val="21"/>
                      <w:highlight w:val="none"/>
                    </w:rPr>
                  </w:pPr>
                  <w:r>
                    <w:rPr>
                      <w:rFonts w:hint="eastAsia" w:ascii="宋体" w:hAnsi="宋体" w:cs="宋体"/>
                      <w:color w:val="auto"/>
                      <w:kern w:val="0"/>
                      <w:szCs w:val="21"/>
                      <w:highlight w:val="none"/>
                    </w:rPr>
                    <w:t>新罗区</w:t>
                  </w:r>
                </w:p>
              </w:tc>
            </w:tr>
            <w:tr w14:paraId="33855077">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288830F9">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5401EBCA">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07D81A16">
                  <w:pPr>
                    <w:widowControl/>
                    <w:rPr>
                      <w:rFonts w:ascii="宋体" w:hAnsi="宋体" w:cs="宋体"/>
                      <w:color w:val="auto"/>
                      <w:szCs w:val="21"/>
                      <w:highlight w:val="none"/>
                    </w:rPr>
                  </w:pPr>
                  <w:r>
                    <w:rPr>
                      <w:rFonts w:hint="eastAsia" w:ascii="宋体" w:hAnsi="宋体" w:cs="宋体"/>
                      <w:color w:val="auto"/>
                      <w:kern w:val="0"/>
                      <w:szCs w:val="21"/>
                      <w:highlight w:val="none"/>
                    </w:rPr>
                    <w:t>永定区、长汀县、连城县、上杭县、武平县等龙岩市非区内范围</w:t>
                  </w:r>
                </w:p>
              </w:tc>
            </w:tr>
            <w:tr w14:paraId="60C5037B">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07F3193A">
                  <w:pPr>
                    <w:widowControl/>
                    <w:jc w:val="center"/>
                    <w:rPr>
                      <w:rFonts w:ascii="宋体" w:hAnsi="宋体" w:cs="宋体"/>
                      <w:color w:val="auto"/>
                      <w:szCs w:val="21"/>
                      <w:highlight w:val="none"/>
                    </w:rPr>
                  </w:pPr>
                  <w:r>
                    <w:rPr>
                      <w:rFonts w:hint="eastAsia" w:ascii="宋体" w:hAnsi="宋体" w:cs="宋体"/>
                      <w:color w:val="auto"/>
                      <w:kern w:val="0"/>
                      <w:szCs w:val="21"/>
                      <w:highlight w:val="none"/>
                    </w:rPr>
                    <w:t>三明市</w:t>
                  </w:r>
                </w:p>
              </w:tc>
              <w:tc>
                <w:tcPr>
                  <w:tcW w:w="993" w:type="dxa"/>
                  <w:tcBorders>
                    <w:top w:val="nil"/>
                    <w:left w:val="nil"/>
                    <w:bottom w:val="single" w:color="auto" w:sz="8" w:space="0"/>
                    <w:right w:val="single" w:color="auto" w:sz="8" w:space="0"/>
                  </w:tcBorders>
                  <w:vAlign w:val="center"/>
                </w:tcPr>
                <w:p w14:paraId="6F706BD5">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0FDA2597">
                  <w:pPr>
                    <w:widowControl/>
                    <w:rPr>
                      <w:rFonts w:ascii="宋体" w:hAnsi="宋体" w:cs="宋体"/>
                      <w:color w:val="auto"/>
                      <w:szCs w:val="21"/>
                      <w:highlight w:val="none"/>
                    </w:rPr>
                  </w:pPr>
                  <w:r>
                    <w:rPr>
                      <w:rFonts w:hint="eastAsia" w:ascii="宋体" w:hAnsi="宋体" w:cs="宋体"/>
                      <w:color w:val="auto"/>
                      <w:kern w:val="0"/>
                      <w:szCs w:val="21"/>
                      <w:highlight w:val="none"/>
                    </w:rPr>
                    <w:t>梅列区、三元区</w:t>
                  </w:r>
                </w:p>
              </w:tc>
            </w:tr>
            <w:tr w14:paraId="1BF66E59">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3B40E13B">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2E66FE4A">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8696A87">
                  <w:pPr>
                    <w:widowControl/>
                    <w:rPr>
                      <w:rFonts w:ascii="宋体" w:hAnsi="宋体" w:cs="宋体"/>
                      <w:color w:val="auto"/>
                      <w:szCs w:val="21"/>
                      <w:highlight w:val="none"/>
                    </w:rPr>
                  </w:pPr>
                  <w:r>
                    <w:rPr>
                      <w:rFonts w:hint="eastAsia" w:ascii="宋体" w:hAnsi="宋体" w:cs="宋体"/>
                      <w:color w:val="auto"/>
                      <w:kern w:val="0"/>
                      <w:szCs w:val="21"/>
                      <w:highlight w:val="none"/>
                    </w:rPr>
                    <w:t>永安市、沙县、尤溪县、大田县、明溪县、清流县、宁化县、将乐县、泰宁县、建宁县等三明市非区内范围</w:t>
                  </w:r>
                </w:p>
              </w:tc>
            </w:tr>
            <w:tr w14:paraId="3738E63A">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53DF10BE">
                  <w:pPr>
                    <w:widowControl/>
                    <w:jc w:val="center"/>
                    <w:rPr>
                      <w:rFonts w:ascii="宋体" w:hAnsi="宋体" w:cs="宋体"/>
                      <w:color w:val="auto"/>
                      <w:szCs w:val="21"/>
                      <w:highlight w:val="none"/>
                    </w:rPr>
                  </w:pPr>
                  <w:r>
                    <w:rPr>
                      <w:rFonts w:hint="eastAsia" w:ascii="宋体" w:hAnsi="宋体" w:cs="宋体"/>
                      <w:color w:val="auto"/>
                      <w:kern w:val="0"/>
                      <w:szCs w:val="21"/>
                      <w:highlight w:val="none"/>
                    </w:rPr>
                    <w:t>南平市</w:t>
                  </w:r>
                </w:p>
              </w:tc>
              <w:tc>
                <w:tcPr>
                  <w:tcW w:w="993" w:type="dxa"/>
                  <w:tcBorders>
                    <w:top w:val="nil"/>
                    <w:left w:val="nil"/>
                    <w:bottom w:val="single" w:color="auto" w:sz="8" w:space="0"/>
                    <w:right w:val="single" w:color="auto" w:sz="8" w:space="0"/>
                  </w:tcBorders>
                  <w:vAlign w:val="center"/>
                </w:tcPr>
                <w:p w14:paraId="6468E0AE">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09650618">
                  <w:pPr>
                    <w:widowControl/>
                    <w:rPr>
                      <w:rFonts w:ascii="宋体" w:hAnsi="宋体" w:cs="宋体"/>
                      <w:color w:val="auto"/>
                      <w:szCs w:val="21"/>
                      <w:highlight w:val="none"/>
                    </w:rPr>
                  </w:pPr>
                  <w:r>
                    <w:rPr>
                      <w:rFonts w:hint="eastAsia" w:ascii="宋体" w:hAnsi="宋体" w:cs="宋体"/>
                      <w:color w:val="auto"/>
                      <w:kern w:val="0"/>
                      <w:szCs w:val="21"/>
                      <w:highlight w:val="none"/>
                    </w:rPr>
                    <w:t>延平区</w:t>
                  </w:r>
                </w:p>
              </w:tc>
            </w:tr>
            <w:tr w14:paraId="671E4D87">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6EA112D8">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1739B4AD">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68988E22">
                  <w:pPr>
                    <w:widowControl/>
                    <w:rPr>
                      <w:rFonts w:ascii="宋体" w:hAnsi="宋体" w:cs="宋体"/>
                      <w:color w:val="auto"/>
                      <w:szCs w:val="21"/>
                      <w:highlight w:val="none"/>
                    </w:rPr>
                  </w:pPr>
                  <w:r>
                    <w:rPr>
                      <w:rFonts w:hint="eastAsia" w:ascii="宋体" w:hAnsi="宋体" w:cs="宋体"/>
                      <w:color w:val="auto"/>
                      <w:kern w:val="0"/>
                      <w:szCs w:val="21"/>
                      <w:highlight w:val="none"/>
                    </w:rPr>
                    <w:t>顺昌县、建瓯市、邵武市、建阳区、政和县、松溪县、浦城县、武夷山市、光泽县等南平市非区内范围</w:t>
                  </w:r>
                </w:p>
              </w:tc>
            </w:tr>
            <w:tr w14:paraId="1659D89A">
              <w:tblPrEx>
                <w:tblCellMar>
                  <w:top w:w="0" w:type="dxa"/>
                  <w:left w:w="108" w:type="dxa"/>
                  <w:bottom w:w="0" w:type="dxa"/>
                  <w:right w:w="108" w:type="dxa"/>
                </w:tblCellMar>
              </w:tblPrEx>
              <w:trPr>
                <w:trHeight w:val="375" w:hRule="atLeast"/>
              </w:trPr>
              <w:tc>
                <w:tcPr>
                  <w:tcW w:w="1014" w:type="dxa"/>
                  <w:vMerge w:val="restart"/>
                  <w:tcBorders>
                    <w:top w:val="nil"/>
                    <w:left w:val="single" w:color="auto" w:sz="8" w:space="0"/>
                    <w:bottom w:val="single" w:color="auto" w:sz="8" w:space="0"/>
                    <w:right w:val="single" w:color="auto" w:sz="8" w:space="0"/>
                  </w:tcBorders>
                  <w:vAlign w:val="center"/>
                </w:tcPr>
                <w:p w14:paraId="4B422AE2">
                  <w:pPr>
                    <w:widowControl/>
                    <w:jc w:val="center"/>
                    <w:rPr>
                      <w:rFonts w:ascii="宋体" w:hAnsi="宋体" w:cs="宋体"/>
                      <w:color w:val="auto"/>
                      <w:szCs w:val="21"/>
                      <w:highlight w:val="none"/>
                    </w:rPr>
                  </w:pPr>
                  <w:r>
                    <w:rPr>
                      <w:rFonts w:hint="eastAsia" w:ascii="宋体" w:hAnsi="宋体" w:cs="宋体"/>
                      <w:color w:val="auto"/>
                      <w:kern w:val="0"/>
                      <w:szCs w:val="21"/>
                      <w:highlight w:val="none"/>
                    </w:rPr>
                    <w:t>宁德市</w:t>
                  </w:r>
                </w:p>
              </w:tc>
              <w:tc>
                <w:tcPr>
                  <w:tcW w:w="993" w:type="dxa"/>
                  <w:tcBorders>
                    <w:top w:val="nil"/>
                    <w:left w:val="nil"/>
                    <w:bottom w:val="single" w:color="auto" w:sz="8" w:space="0"/>
                    <w:right w:val="single" w:color="auto" w:sz="8" w:space="0"/>
                  </w:tcBorders>
                  <w:vAlign w:val="center"/>
                </w:tcPr>
                <w:p w14:paraId="3D7804A2">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区内</w:t>
                  </w:r>
                </w:p>
              </w:tc>
              <w:tc>
                <w:tcPr>
                  <w:tcW w:w="6053" w:type="dxa"/>
                  <w:tcBorders>
                    <w:top w:val="nil"/>
                    <w:left w:val="nil"/>
                    <w:bottom w:val="single" w:color="auto" w:sz="8" w:space="0"/>
                    <w:right w:val="single" w:color="auto" w:sz="8" w:space="0"/>
                  </w:tcBorders>
                  <w:vAlign w:val="center"/>
                </w:tcPr>
                <w:p w14:paraId="1EFA7C3B">
                  <w:pPr>
                    <w:widowControl/>
                    <w:rPr>
                      <w:rFonts w:ascii="宋体" w:hAnsi="宋体" w:cs="宋体"/>
                      <w:color w:val="auto"/>
                      <w:szCs w:val="21"/>
                      <w:highlight w:val="none"/>
                    </w:rPr>
                  </w:pPr>
                  <w:r>
                    <w:rPr>
                      <w:rFonts w:hint="eastAsia" w:ascii="宋体" w:hAnsi="宋体" w:cs="宋体"/>
                      <w:color w:val="auto"/>
                      <w:kern w:val="0"/>
                      <w:szCs w:val="21"/>
                      <w:highlight w:val="none"/>
                    </w:rPr>
                    <w:t>蕉城区、东侨新区</w:t>
                  </w:r>
                </w:p>
              </w:tc>
            </w:tr>
            <w:tr w14:paraId="6DC714AB">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3A294F30">
                  <w:pPr>
                    <w:widowControl/>
                    <w:jc w:val="left"/>
                    <w:rPr>
                      <w:rFonts w:ascii="宋体" w:hAnsi="宋体" w:cs="宋体"/>
                      <w:color w:val="auto"/>
                      <w:szCs w:val="21"/>
                      <w:highlight w:val="none"/>
                    </w:rPr>
                  </w:pPr>
                </w:p>
              </w:tc>
              <w:tc>
                <w:tcPr>
                  <w:tcW w:w="993" w:type="dxa"/>
                  <w:tcBorders>
                    <w:top w:val="nil"/>
                    <w:left w:val="nil"/>
                    <w:bottom w:val="single" w:color="auto" w:sz="8" w:space="0"/>
                    <w:right w:val="single" w:color="auto" w:sz="8" w:space="0"/>
                  </w:tcBorders>
                  <w:vAlign w:val="center"/>
                </w:tcPr>
                <w:p w14:paraId="73FE668D">
                  <w:pPr>
                    <w:widowControl/>
                    <w:jc w:val="center"/>
                    <w:rPr>
                      <w:rFonts w:ascii="宋体" w:hAnsi="宋体" w:cs="宋体"/>
                      <w:color w:val="auto"/>
                      <w:szCs w:val="21"/>
                      <w:highlight w:val="none"/>
                    </w:rPr>
                  </w:pPr>
                  <w:r>
                    <w:rPr>
                      <w:rFonts w:hint="eastAsia" w:ascii="宋体" w:hAnsi="宋体" w:cs="宋体"/>
                      <w:color w:val="auto"/>
                      <w:kern w:val="0"/>
                      <w:szCs w:val="21"/>
                      <w:highlight w:val="none"/>
                    </w:rPr>
                    <w:t>区外</w:t>
                  </w:r>
                </w:p>
              </w:tc>
              <w:tc>
                <w:tcPr>
                  <w:tcW w:w="6053" w:type="dxa"/>
                  <w:tcBorders>
                    <w:top w:val="nil"/>
                    <w:left w:val="nil"/>
                    <w:bottom w:val="single" w:color="auto" w:sz="8" w:space="0"/>
                    <w:right w:val="single" w:color="auto" w:sz="8" w:space="0"/>
                  </w:tcBorders>
                  <w:vAlign w:val="center"/>
                </w:tcPr>
                <w:p w14:paraId="7D047DB2">
                  <w:pPr>
                    <w:widowControl/>
                    <w:rPr>
                      <w:rFonts w:ascii="宋体" w:hAnsi="宋体" w:cs="宋体"/>
                      <w:color w:val="auto"/>
                      <w:szCs w:val="21"/>
                      <w:highlight w:val="none"/>
                    </w:rPr>
                  </w:pPr>
                  <w:r>
                    <w:rPr>
                      <w:rFonts w:hint="eastAsia" w:ascii="宋体" w:hAnsi="宋体" w:cs="宋体"/>
                      <w:color w:val="auto"/>
                      <w:kern w:val="0"/>
                      <w:szCs w:val="21"/>
                      <w:highlight w:val="none"/>
                    </w:rPr>
                    <w:t>福安市、福鼎市、霞浦县、古田县、屏南县、寿宁县、周宁县、柘荣县等宁德市非区内范围</w:t>
                  </w:r>
                </w:p>
              </w:tc>
            </w:tr>
          </w:tbl>
          <w:p w14:paraId="5EB001A2">
            <w:pPr>
              <w:shd w:val="clear" w:color="auto" w:fill="FFFFFF"/>
              <w:rPr>
                <w:rFonts w:ascii="宋体" w:hAnsi="宋体" w:cs="宋体"/>
                <w:color w:val="auto"/>
                <w:szCs w:val="21"/>
                <w:highlight w:val="none"/>
              </w:rPr>
            </w:pPr>
          </w:p>
        </w:tc>
      </w:tr>
    </w:tbl>
    <w:p w14:paraId="1E6F2146">
      <w:pPr>
        <w:rPr>
          <w:rFonts w:ascii="宋体" w:hAnsi="宋体" w:cs="宋体"/>
          <w:b/>
          <w:bCs/>
          <w:color w:val="auto"/>
          <w:sz w:val="24"/>
          <w:szCs w:val="24"/>
          <w:highlight w:val="none"/>
        </w:rPr>
      </w:pPr>
      <w:r>
        <w:rPr>
          <w:rFonts w:ascii="宋体" w:hAnsi="宋体" w:cs="宋体"/>
          <w:b/>
          <w:bCs/>
          <w:color w:val="auto"/>
          <w:sz w:val="24"/>
          <w:szCs w:val="24"/>
          <w:highlight w:val="none"/>
        </w:rPr>
        <w:t>  </w:t>
      </w:r>
    </w:p>
    <w:p w14:paraId="038CBC7B">
      <w:pPr>
        <w:rPr>
          <w:rFonts w:ascii="宋体" w:hAnsi="宋体"/>
          <w:color w:val="auto"/>
          <w:sz w:val="24"/>
          <w:szCs w:val="24"/>
          <w:highlight w:val="none"/>
        </w:rPr>
      </w:pPr>
    </w:p>
    <w:p w14:paraId="57B55D1B">
      <w:pPr>
        <w:rPr>
          <w:rFonts w:ascii="宋体" w:hAnsi="宋体"/>
          <w:color w:val="auto"/>
          <w:highlight w:val="none"/>
        </w:rPr>
      </w:pPr>
    </w:p>
    <w:p w14:paraId="6A9D2720">
      <w:pPr>
        <w:rPr>
          <w:rFonts w:ascii="宋体" w:hAnsi="宋体"/>
          <w:color w:val="auto"/>
          <w:highlight w:val="none"/>
        </w:rPr>
        <w:sectPr>
          <w:pgSz w:w="11906" w:h="16838"/>
          <w:pgMar w:top="1440" w:right="1800" w:bottom="1440" w:left="1800" w:header="851" w:footer="992" w:gutter="0"/>
          <w:cols w:space="720" w:num="1"/>
          <w:docGrid w:type="lines" w:linePitch="312" w:charSpace="0"/>
        </w:sectPr>
      </w:pPr>
    </w:p>
    <w:p w14:paraId="04D1DD4B">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附件4：定货单样单</w:t>
      </w:r>
    </w:p>
    <w:p w14:paraId="2CE4B594">
      <w:pPr>
        <w:jc w:val="center"/>
        <w:rPr>
          <w:rFonts w:ascii="宋体" w:hAnsi="宋体"/>
          <w:b/>
          <w:bCs/>
          <w:color w:val="auto"/>
          <w:sz w:val="32"/>
          <w:szCs w:val="32"/>
          <w:highlight w:val="none"/>
        </w:rPr>
      </w:pPr>
      <w:r>
        <w:rPr>
          <w:rFonts w:hint="eastAsia" w:ascii="宋体" w:hAnsi="宋体"/>
          <w:b/>
          <w:bCs/>
          <w:color w:val="auto"/>
          <w:sz w:val="32"/>
          <w:szCs w:val="32"/>
          <w:highlight w:val="none"/>
        </w:rPr>
        <w:t>定货单</w:t>
      </w:r>
    </w:p>
    <w:p w14:paraId="480EBF4D">
      <w:pPr>
        <w:widowControl/>
        <w:spacing w:line="440" w:lineRule="exact"/>
        <w:ind w:firstLine="2400" w:firstLineChars="1000"/>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（定货单编号：           ）</w:t>
      </w:r>
    </w:p>
    <w:p w14:paraId="7130BD33">
      <w:pPr>
        <w:jc w:val="center"/>
        <w:rPr>
          <w:rFonts w:ascii="宋体" w:hAnsi="宋体"/>
          <w:color w:val="auto"/>
          <w:sz w:val="24"/>
          <w:highlight w:val="none"/>
        </w:rPr>
      </w:pPr>
    </w:p>
    <w:p w14:paraId="3EF6AA6B">
      <w:pPr>
        <w:widowControl/>
        <w:spacing w:line="440" w:lineRule="exact"/>
        <w:ind w:firstLine="2400" w:firstLineChars="1000"/>
        <w:rPr>
          <w:rFonts w:ascii="宋体" w:hAnsi="宋体" w:cs="宋体"/>
          <w:color w:val="auto"/>
          <w:kern w:val="0"/>
          <w:sz w:val="24"/>
          <w:szCs w:val="24"/>
          <w:highlight w:val="none"/>
        </w:rPr>
      </w:pPr>
      <w:r>
        <w:rPr>
          <w:rFonts w:hint="eastAsia" w:ascii="宋体" w:hAnsi="宋体" w:cs="宋体"/>
          <w:color w:val="auto"/>
          <w:kern w:val="0"/>
          <w:sz w:val="24"/>
          <w:szCs w:val="24"/>
          <w:highlight w:val="none"/>
        </w:rPr>
        <w:t>公司：</w:t>
      </w:r>
    </w:p>
    <w:p w14:paraId="6AA41985">
      <w:pPr>
        <w:widowControl/>
        <w:spacing w:line="440" w:lineRule="exact"/>
        <w:ind w:right="357" w:rightChars="170"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根据我司与贵司[]年[  ]月[  ]日签订的[              ]号《 大宗采购合同》，现我司向贵司确认本次采购产品明细如下：</w:t>
      </w:r>
    </w:p>
    <w:p w14:paraId="075EAD32">
      <w:pPr>
        <w:widowControl/>
        <w:spacing w:line="440" w:lineRule="exact"/>
        <w:ind w:right="357" w:rightChars="170" w:firstLine="480" w:firstLineChars="200"/>
        <w:rPr>
          <w:rFonts w:ascii="宋体" w:hAnsi="宋体" w:cs="宋体"/>
          <w:color w:val="auto"/>
          <w:sz w:val="24"/>
          <w:highlight w:val="none"/>
        </w:rPr>
      </w:pPr>
    </w:p>
    <w:p w14:paraId="1CC841F3">
      <w:pPr>
        <w:widowControl/>
        <w:spacing w:line="440" w:lineRule="exact"/>
        <w:ind w:right="357" w:rightChars="170" w:firstLine="480" w:firstLineChars="200"/>
        <w:rPr>
          <w:rFonts w:ascii="宋体" w:hAnsi="宋体" w:cs="宋体"/>
          <w:color w:val="auto"/>
          <w:sz w:val="24"/>
          <w:highlight w:val="none"/>
        </w:rPr>
      </w:pPr>
      <w:r>
        <w:rPr>
          <w:rFonts w:ascii="宋体" w:hAnsi="宋体" w:cs="宋体"/>
          <w:color w:val="auto"/>
          <w:sz w:val="24"/>
          <w:highlight w:val="none"/>
        </w:rPr>
        <w:t>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666"/>
        <w:gridCol w:w="1418"/>
        <w:gridCol w:w="1701"/>
        <w:gridCol w:w="1319"/>
        <w:gridCol w:w="1560"/>
      </w:tblGrid>
      <w:tr w14:paraId="23EE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96" w:type="dxa"/>
            <w:vAlign w:val="center"/>
          </w:tcPr>
          <w:p w14:paraId="468F644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产品名称</w:t>
            </w:r>
          </w:p>
        </w:tc>
        <w:tc>
          <w:tcPr>
            <w:tcW w:w="1666" w:type="dxa"/>
            <w:vAlign w:val="center"/>
          </w:tcPr>
          <w:p w14:paraId="62AE0BE4">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规格型号</w:t>
            </w:r>
          </w:p>
        </w:tc>
        <w:tc>
          <w:tcPr>
            <w:tcW w:w="1418" w:type="dxa"/>
            <w:vAlign w:val="center"/>
          </w:tcPr>
          <w:p w14:paraId="51E39FE5">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701" w:type="dxa"/>
            <w:vAlign w:val="center"/>
          </w:tcPr>
          <w:p w14:paraId="03E526A2">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单价（元）</w:t>
            </w:r>
          </w:p>
        </w:tc>
        <w:tc>
          <w:tcPr>
            <w:tcW w:w="1319" w:type="dxa"/>
            <w:vAlign w:val="center"/>
          </w:tcPr>
          <w:p w14:paraId="59D7CF3D">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560" w:type="dxa"/>
            <w:vAlign w:val="center"/>
          </w:tcPr>
          <w:p w14:paraId="73550113">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总金（元）</w:t>
            </w:r>
          </w:p>
        </w:tc>
      </w:tr>
      <w:tr w14:paraId="578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96" w:type="dxa"/>
            <w:vAlign w:val="center"/>
          </w:tcPr>
          <w:p w14:paraId="383EA939">
            <w:pPr>
              <w:widowControl/>
              <w:spacing w:line="360" w:lineRule="auto"/>
              <w:jc w:val="center"/>
              <w:rPr>
                <w:rFonts w:ascii="宋体" w:hAnsi="宋体" w:cs="宋体"/>
                <w:color w:val="auto"/>
                <w:kern w:val="0"/>
                <w:sz w:val="24"/>
                <w:szCs w:val="24"/>
                <w:highlight w:val="none"/>
              </w:rPr>
            </w:pPr>
          </w:p>
        </w:tc>
        <w:tc>
          <w:tcPr>
            <w:tcW w:w="1666" w:type="dxa"/>
            <w:vAlign w:val="center"/>
          </w:tcPr>
          <w:p w14:paraId="6757A202">
            <w:pPr>
              <w:widowControl/>
              <w:spacing w:line="360" w:lineRule="auto"/>
              <w:jc w:val="center"/>
              <w:rPr>
                <w:rFonts w:ascii="宋体" w:hAnsi="宋体" w:cs="宋体"/>
                <w:color w:val="auto"/>
                <w:kern w:val="0"/>
                <w:sz w:val="24"/>
                <w:szCs w:val="24"/>
                <w:highlight w:val="none"/>
              </w:rPr>
            </w:pPr>
          </w:p>
        </w:tc>
        <w:tc>
          <w:tcPr>
            <w:tcW w:w="1418" w:type="dxa"/>
            <w:vAlign w:val="center"/>
          </w:tcPr>
          <w:p w14:paraId="582324A0">
            <w:pPr>
              <w:widowControl/>
              <w:spacing w:line="360" w:lineRule="auto"/>
              <w:jc w:val="center"/>
              <w:rPr>
                <w:rFonts w:ascii="宋体" w:hAnsi="宋体" w:cs="宋体"/>
                <w:color w:val="auto"/>
                <w:kern w:val="0"/>
                <w:szCs w:val="21"/>
                <w:highlight w:val="none"/>
              </w:rPr>
            </w:pPr>
          </w:p>
        </w:tc>
        <w:tc>
          <w:tcPr>
            <w:tcW w:w="1701" w:type="dxa"/>
            <w:vAlign w:val="center"/>
          </w:tcPr>
          <w:p w14:paraId="00678606">
            <w:pPr>
              <w:widowControl/>
              <w:spacing w:line="360" w:lineRule="auto"/>
              <w:jc w:val="center"/>
              <w:rPr>
                <w:rFonts w:ascii="宋体" w:hAnsi="宋体" w:cs="宋体"/>
                <w:color w:val="auto"/>
                <w:kern w:val="0"/>
                <w:sz w:val="24"/>
                <w:szCs w:val="24"/>
                <w:highlight w:val="none"/>
              </w:rPr>
            </w:pPr>
          </w:p>
        </w:tc>
        <w:tc>
          <w:tcPr>
            <w:tcW w:w="1319" w:type="dxa"/>
            <w:vAlign w:val="center"/>
          </w:tcPr>
          <w:p w14:paraId="4332537E">
            <w:pPr>
              <w:widowControl/>
              <w:spacing w:line="360" w:lineRule="auto"/>
              <w:jc w:val="center"/>
              <w:rPr>
                <w:rFonts w:ascii="宋体" w:hAnsi="宋体" w:cs="宋体"/>
                <w:color w:val="auto"/>
                <w:kern w:val="0"/>
                <w:sz w:val="24"/>
                <w:szCs w:val="24"/>
                <w:highlight w:val="none"/>
              </w:rPr>
            </w:pPr>
          </w:p>
        </w:tc>
        <w:tc>
          <w:tcPr>
            <w:tcW w:w="1560" w:type="dxa"/>
            <w:vAlign w:val="center"/>
          </w:tcPr>
          <w:p w14:paraId="442ACB28">
            <w:pPr>
              <w:widowControl/>
              <w:spacing w:line="360" w:lineRule="auto"/>
              <w:jc w:val="center"/>
              <w:rPr>
                <w:rFonts w:ascii="宋体" w:hAnsi="宋体" w:cs="宋体"/>
                <w:color w:val="auto"/>
                <w:kern w:val="0"/>
                <w:sz w:val="24"/>
                <w:szCs w:val="24"/>
                <w:highlight w:val="none"/>
              </w:rPr>
            </w:pPr>
          </w:p>
        </w:tc>
      </w:tr>
      <w:tr w14:paraId="6E16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96" w:type="dxa"/>
            <w:vAlign w:val="center"/>
          </w:tcPr>
          <w:p w14:paraId="4E106A91">
            <w:pPr>
              <w:widowControl/>
              <w:spacing w:line="360" w:lineRule="auto"/>
              <w:jc w:val="center"/>
              <w:rPr>
                <w:rFonts w:ascii="宋体" w:hAnsi="宋体" w:cs="宋体"/>
                <w:color w:val="auto"/>
                <w:kern w:val="0"/>
                <w:sz w:val="24"/>
                <w:szCs w:val="24"/>
                <w:highlight w:val="none"/>
              </w:rPr>
            </w:pPr>
          </w:p>
        </w:tc>
        <w:tc>
          <w:tcPr>
            <w:tcW w:w="1666" w:type="dxa"/>
            <w:vAlign w:val="center"/>
          </w:tcPr>
          <w:p w14:paraId="3EC50B02">
            <w:pPr>
              <w:widowControl/>
              <w:spacing w:line="360" w:lineRule="auto"/>
              <w:jc w:val="center"/>
              <w:rPr>
                <w:rFonts w:ascii="宋体" w:hAnsi="宋体" w:cs="宋体"/>
                <w:color w:val="auto"/>
                <w:kern w:val="0"/>
                <w:sz w:val="24"/>
                <w:szCs w:val="24"/>
                <w:highlight w:val="none"/>
              </w:rPr>
            </w:pPr>
          </w:p>
        </w:tc>
        <w:tc>
          <w:tcPr>
            <w:tcW w:w="1418" w:type="dxa"/>
            <w:vAlign w:val="center"/>
          </w:tcPr>
          <w:p w14:paraId="09CF731F">
            <w:pPr>
              <w:widowControl/>
              <w:spacing w:line="360" w:lineRule="auto"/>
              <w:jc w:val="center"/>
              <w:rPr>
                <w:rFonts w:ascii="宋体" w:hAnsi="宋体"/>
                <w:color w:val="auto"/>
                <w:sz w:val="24"/>
                <w:szCs w:val="24"/>
                <w:highlight w:val="none"/>
              </w:rPr>
            </w:pPr>
          </w:p>
        </w:tc>
        <w:tc>
          <w:tcPr>
            <w:tcW w:w="1701" w:type="dxa"/>
            <w:vAlign w:val="center"/>
          </w:tcPr>
          <w:p w14:paraId="30C08E79">
            <w:pPr>
              <w:widowControl/>
              <w:spacing w:line="360" w:lineRule="auto"/>
              <w:jc w:val="center"/>
              <w:rPr>
                <w:rFonts w:ascii="宋体" w:hAnsi="宋体" w:cs="宋体"/>
                <w:color w:val="auto"/>
                <w:kern w:val="0"/>
                <w:sz w:val="24"/>
                <w:szCs w:val="24"/>
                <w:highlight w:val="none"/>
              </w:rPr>
            </w:pPr>
          </w:p>
        </w:tc>
        <w:tc>
          <w:tcPr>
            <w:tcW w:w="1319" w:type="dxa"/>
            <w:vAlign w:val="center"/>
          </w:tcPr>
          <w:p w14:paraId="3A8B22A0">
            <w:pPr>
              <w:widowControl/>
              <w:spacing w:line="360" w:lineRule="auto"/>
              <w:jc w:val="center"/>
              <w:rPr>
                <w:rFonts w:ascii="宋体" w:hAnsi="宋体" w:cs="宋体"/>
                <w:color w:val="auto"/>
                <w:kern w:val="0"/>
                <w:sz w:val="24"/>
                <w:szCs w:val="24"/>
                <w:highlight w:val="none"/>
              </w:rPr>
            </w:pPr>
          </w:p>
        </w:tc>
        <w:tc>
          <w:tcPr>
            <w:tcW w:w="1560" w:type="dxa"/>
            <w:vAlign w:val="center"/>
          </w:tcPr>
          <w:p w14:paraId="7AC20B0C">
            <w:pPr>
              <w:widowControl/>
              <w:spacing w:line="360" w:lineRule="auto"/>
              <w:jc w:val="center"/>
              <w:rPr>
                <w:rFonts w:ascii="宋体" w:hAnsi="宋体" w:cs="宋体"/>
                <w:color w:val="auto"/>
                <w:kern w:val="0"/>
                <w:sz w:val="24"/>
                <w:szCs w:val="24"/>
                <w:highlight w:val="none"/>
              </w:rPr>
            </w:pPr>
          </w:p>
        </w:tc>
      </w:tr>
      <w:tr w14:paraId="2ADD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81" w:type="dxa"/>
            <w:gridSpan w:val="4"/>
            <w:vAlign w:val="center"/>
          </w:tcPr>
          <w:p w14:paraId="6D809B98">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合计：</w:t>
            </w:r>
          </w:p>
        </w:tc>
        <w:tc>
          <w:tcPr>
            <w:tcW w:w="1319" w:type="dxa"/>
            <w:vAlign w:val="center"/>
          </w:tcPr>
          <w:p w14:paraId="5DAC7CF3">
            <w:pPr>
              <w:widowControl/>
              <w:spacing w:line="360" w:lineRule="auto"/>
              <w:jc w:val="center"/>
              <w:rPr>
                <w:rFonts w:ascii="宋体" w:hAnsi="宋体" w:cs="宋体"/>
                <w:color w:val="auto"/>
                <w:kern w:val="0"/>
                <w:sz w:val="24"/>
                <w:szCs w:val="24"/>
                <w:highlight w:val="none"/>
              </w:rPr>
            </w:pPr>
          </w:p>
        </w:tc>
        <w:tc>
          <w:tcPr>
            <w:tcW w:w="1560" w:type="dxa"/>
            <w:vAlign w:val="bottom"/>
          </w:tcPr>
          <w:p w14:paraId="2B851922">
            <w:pPr>
              <w:widowControl/>
              <w:jc w:val="center"/>
              <w:textAlignment w:val="bottom"/>
              <w:rPr>
                <w:rFonts w:ascii="宋体" w:hAnsi="宋体" w:cs="等线"/>
                <w:color w:val="auto"/>
                <w:sz w:val="22"/>
                <w:highlight w:val="none"/>
              </w:rPr>
            </w:pPr>
          </w:p>
        </w:tc>
      </w:tr>
      <w:tr w14:paraId="5A0A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60" w:type="dxa"/>
            <w:gridSpan w:val="6"/>
            <w:vAlign w:val="center"/>
          </w:tcPr>
          <w:p w14:paraId="339B7754">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定货单总价： 元整</w:t>
            </w:r>
          </w:p>
          <w:p w14:paraId="73B65090">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收货单位：</w:t>
            </w:r>
          </w:p>
          <w:p w14:paraId="30D7E144">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交货地址：</w:t>
            </w:r>
          </w:p>
          <w:p w14:paraId="3EDD99C0">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交货时间：</w:t>
            </w:r>
          </w:p>
          <w:p w14:paraId="39293899">
            <w:pPr>
              <w:widowControl/>
              <w:spacing w:line="360" w:lineRule="auto"/>
              <w:jc w:val="left"/>
              <w:rPr>
                <w:rFonts w:ascii="宋体" w:hAnsi="宋体" w:cs="宋体"/>
                <w:color w:val="auto"/>
                <w:kern w:val="0"/>
                <w:sz w:val="24"/>
                <w:szCs w:val="24"/>
                <w:highlight w:val="none"/>
              </w:rPr>
            </w:pPr>
            <w:r>
              <w:rPr>
                <w:rFonts w:hint="eastAsia" w:ascii="宋体" w:hAnsi="宋体"/>
                <w:color w:val="auto"/>
                <w:sz w:val="24"/>
                <w:szCs w:val="24"/>
                <w:highlight w:val="none"/>
              </w:rPr>
              <w:t>安装时间：贵司应负责货物（设备）的安装，在接到我司或最终用户的安装要求后4个小时内安排安装服务人员到达指定地点进行安装调试，安装调试完成后三日内将最终用户确认的最终验收合格交付单及时反馈给我司。</w:t>
            </w:r>
          </w:p>
          <w:p w14:paraId="3F4705C6">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收货联系人及联系方式：</w:t>
            </w:r>
          </w:p>
        </w:tc>
      </w:tr>
    </w:tbl>
    <w:p w14:paraId="2ED1E27A">
      <w:pPr>
        <w:widowControl/>
        <w:spacing w:line="440" w:lineRule="exact"/>
        <w:ind w:right="357" w:rightChars="170" w:firstLine="480" w:firstLineChars="200"/>
        <w:rPr>
          <w:rFonts w:ascii="宋体" w:hAnsi="宋体" w:cs="宋体"/>
          <w:color w:val="auto"/>
          <w:sz w:val="24"/>
          <w:highlight w:val="none"/>
        </w:rPr>
      </w:pPr>
      <w:r>
        <w:rPr>
          <w:rFonts w:ascii="宋体" w:hAnsi="宋体" w:cs="宋体"/>
          <w:color w:val="auto"/>
          <w:sz w:val="24"/>
          <w:highlight w:val="none"/>
        </w:rPr>
        <w:t>  </w:t>
      </w:r>
    </w:p>
    <w:p w14:paraId="15338614">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注：授权经办指定邮箱发送的扫描件与原件具有同等法律效力。</w:t>
      </w:r>
    </w:p>
    <w:p w14:paraId="396A334F">
      <w:pPr>
        <w:widowControl/>
        <w:spacing w:line="440" w:lineRule="exact"/>
        <w:rPr>
          <w:rFonts w:ascii="宋体" w:hAnsi="宋体" w:cs="宋体"/>
          <w:color w:val="auto"/>
          <w:sz w:val="24"/>
          <w:highlight w:val="none"/>
        </w:rPr>
      </w:pPr>
    </w:p>
    <w:p w14:paraId="24BE1F74">
      <w:pPr>
        <w:widowControl/>
        <w:spacing w:line="440" w:lineRule="exact"/>
        <w:rPr>
          <w:rFonts w:ascii="宋体" w:hAnsi="宋体" w:cs="宋体"/>
          <w:color w:val="auto"/>
          <w:sz w:val="24"/>
          <w:highlight w:val="none"/>
        </w:rPr>
      </w:pPr>
    </w:p>
    <w:p w14:paraId="6C3402D9">
      <w:pPr>
        <w:spacing w:line="360" w:lineRule="auto"/>
        <w:ind w:firstLine="480" w:firstLineChars="200"/>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采购单位：</w:t>
      </w:r>
      <w:bookmarkStart w:id="12" w:name="_Hlk97045152"/>
      <w:r>
        <w:rPr>
          <w:rFonts w:hint="eastAsia" w:ascii="宋体" w:hAnsi="宋体" w:cs="宋体"/>
          <w:color w:val="auto"/>
          <w:kern w:val="0"/>
          <w:sz w:val="24"/>
          <w:szCs w:val="24"/>
          <w:highlight w:val="none"/>
        </w:rPr>
        <w:t>厦门万翔网络商务有限公司</w:t>
      </w:r>
    </w:p>
    <w:bookmarkEnd w:id="12"/>
    <w:p w14:paraId="10A40989">
      <w:pPr>
        <w:spacing w:line="360" w:lineRule="auto"/>
        <w:ind w:firstLine="480" w:firstLineChars="200"/>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日期： 年 月 日</w:t>
      </w:r>
    </w:p>
    <w:p w14:paraId="39B5A4FA">
      <w:pPr>
        <w:spacing w:line="360" w:lineRule="auto"/>
        <w:ind w:firstLine="480" w:firstLineChars="200"/>
        <w:rPr>
          <w:rFonts w:ascii="宋体" w:hAnsi="宋体" w:cs="宋体"/>
          <w:color w:val="auto"/>
          <w:kern w:val="0"/>
          <w:sz w:val="24"/>
          <w:szCs w:val="24"/>
          <w:highlight w:val="none"/>
        </w:rPr>
      </w:pPr>
    </w:p>
    <w:p w14:paraId="748066B6">
      <w:pPr>
        <w:rPr>
          <w:rFonts w:ascii="宋体" w:hAnsi="宋体"/>
          <w:color w:val="auto"/>
          <w:highlight w:val="none"/>
        </w:rPr>
      </w:pPr>
    </w:p>
    <w:p w14:paraId="67D56B56">
      <w:pPr>
        <w:rPr>
          <w:rFonts w:ascii="宋体" w:hAnsi="宋体"/>
          <w:color w:val="auto"/>
          <w:highlight w:val="none"/>
        </w:rPr>
      </w:pPr>
    </w:p>
    <w:p w14:paraId="3061C42B">
      <w:pPr>
        <w:rPr>
          <w:rFonts w:ascii="宋体" w:hAnsi="宋体"/>
          <w:color w:val="auto"/>
          <w:highlight w:val="none"/>
        </w:rPr>
      </w:pPr>
    </w:p>
    <w:p w14:paraId="68C0AD86">
      <w:pPr>
        <w:rPr>
          <w:rFonts w:ascii="宋体" w:hAnsi="宋体"/>
          <w:b/>
          <w:bCs/>
          <w:color w:val="auto"/>
          <w:sz w:val="24"/>
          <w:szCs w:val="24"/>
          <w:highlight w:val="none"/>
        </w:rPr>
        <w:sectPr>
          <w:pgSz w:w="11906" w:h="16838"/>
          <w:pgMar w:top="1440" w:right="1800" w:bottom="1440" w:left="1800" w:header="851" w:footer="992" w:gutter="0"/>
          <w:cols w:space="720" w:num="1"/>
          <w:docGrid w:type="lines" w:linePitch="312" w:charSpace="0"/>
        </w:sectPr>
      </w:pPr>
    </w:p>
    <w:p w14:paraId="37551F81">
      <w:pPr>
        <w:rPr>
          <w:rFonts w:ascii="宋体" w:hAnsi="宋体"/>
          <w:b/>
          <w:bCs/>
          <w:color w:val="auto"/>
          <w:sz w:val="24"/>
          <w:szCs w:val="24"/>
          <w:highlight w:val="none"/>
        </w:rPr>
      </w:pPr>
      <w:r>
        <w:rPr>
          <w:rFonts w:hint="eastAsia" w:ascii="宋体" w:hAnsi="宋体"/>
          <w:b/>
          <w:bCs/>
          <w:color w:val="auto"/>
          <w:sz w:val="24"/>
          <w:szCs w:val="24"/>
          <w:highlight w:val="none"/>
        </w:rPr>
        <w:t>附件5：验收单样单</w:t>
      </w:r>
    </w:p>
    <w:p w14:paraId="4461C91E">
      <w:pPr>
        <w:rPr>
          <w:rFonts w:ascii="宋体" w:hAnsi="宋体"/>
          <w:b/>
          <w:bCs/>
          <w:color w:val="auto"/>
          <w:sz w:val="24"/>
          <w:szCs w:val="24"/>
          <w:highlight w:val="none"/>
        </w:rPr>
      </w:pPr>
      <w:r>
        <w:rPr>
          <w:rFonts w:ascii="宋体" w:hAnsi="宋体" w:cs="Times New Roman"/>
          <w:b/>
          <w:bCs/>
          <w:color w:val="auto"/>
          <w:sz w:val="24"/>
          <w:szCs w:val="24"/>
          <w:highlight w:val="none"/>
        </w:rPr>
        <w:drawing>
          <wp:inline distT="0" distB="0" distL="114300" distR="114300">
            <wp:extent cx="5274310" cy="7529195"/>
            <wp:effectExtent l="0" t="0" r="2540" b="14605"/>
            <wp:docPr id="1" name="图片 1"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副本验收报告格式(最终稿）(2)"/>
                    <pic:cNvPicPr>
                      <a:picLocks noChangeAspect="1"/>
                    </pic:cNvPicPr>
                  </pic:nvPicPr>
                  <pic:blipFill>
                    <a:blip r:embed="rId13"/>
                    <a:stretch>
                      <a:fillRect/>
                    </a:stretch>
                  </pic:blipFill>
                  <pic:spPr>
                    <a:xfrm>
                      <a:off x="0" y="0"/>
                      <a:ext cx="5274310" cy="7529195"/>
                    </a:xfrm>
                    <a:prstGeom prst="rect">
                      <a:avLst/>
                    </a:prstGeom>
                    <a:noFill/>
                    <a:ln>
                      <a:noFill/>
                    </a:ln>
                  </pic:spPr>
                </pic:pic>
              </a:graphicData>
            </a:graphic>
          </wp:inline>
        </w:drawing>
      </w:r>
    </w:p>
    <w:p w14:paraId="729595FB">
      <w:pPr>
        <w:numPr>
          <w:ilvl w:val="255"/>
          <w:numId w:val="0"/>
        </w:numPr>
        <w:spacing w:line="360" w:lineRule="auto"/>
        <w:rPr>
          <w:rFonts w:ascii="宋体" w:hAnsi="宋体" w:cs="宋体"/>
          <w:b/>
          <w:color w:val="auto"/>
          <w:sz w:val="24"/>
          <w:szCs w:val="24"/>
          <w:highlight w:val="none"/>
        </w:rPr>
      </w:pPr>
    </w:p>
    <w:p w14:paraId="5CC78BAD">
      <w:pPr>
        <w:spacing w:line="360" w:lineRule="auto"/>
        <w:ind w:left="0"/>
        <w:rPr>
          <w:rFonts w:ascii="宋体" w:hAnsi="宋体" w:cs="宋体"/>
          <w:color w:val="auto"/>
          <w:sz w:val="24"/>
          <w:szCs w:val="24"/>
          <w:highlight w:val="none"/>
        </w:rPr>
      </w:pPr>
    </w:p>
    <w:p w14:paraId="0F27065B">
      <w:pPr>
        <w:rPr>
          <w:color w:val="auto"/>
          <w:highlight w:val="none"/>
        </w:rPr>
      </w:pPr>
    </w:p>
    <w:sectPr>
      <w:footerReference r:id="rId11"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DF3C9">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A972">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BE033">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4</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BDE05">
    <w:pPr>
      <w:pStyle w:val="7"/>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DB3C3">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7C44C">
    <w:pPr>
      <w:pStyle w:val="7"/>
      <w:tabs>
        <w:tab w:val="right" w:pos="8460"/>
        <w:tab w:val="clear" w:pos="8306"/>
      </w:tabs>
      <w:ind w:right="-89" w:firstLine="420"/>
      <w:jc w:val="both"/>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posOffset>2389505</wp:posOffset>
              </wp:positionH>
              <wp:positionV relativeFrom="paragraph">
                <wp:posOffset>-6985</wp:posOffset>
              </wp:positionV>
              <wp:extent cx="678180" cy="15494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78180" cy="154940"/>
                      </a:xfrm>
                      <a:prstGeom prst="rect">
                        <a:avLst/>
                      </a:prstGeom>
                      <a:noFill/>
                      <a:ln>
                        <a:noFill/>
                      </a:ln>
                    </wps:spPr>
                    <wps:txbx>
                      <w:txbxContent>
                        <w:p w14:paraId="53BC8F63">
                          <w:pPr>
                            <w:pStyle w:val="7"/>
                            <w:tabs>
                              <w:tab w:val="right" w:pos="8460"/>
                              <w:tab w:val="clear" w:pos="8306"/>
                            </w:tabs>
                            <w:ind w:right="-89" w:firstLine="420"/>
                            <w:jc w:val="cente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23</w:t>
                          </w:r>
                          <w:r>
                            <w:rPr>
                              <w:rFonts w:ascii="宋体" w:hAnsi="宋体"/>
                              <w:szCs w:val="20"/>
                            </w:rPr>
                            <w:fldChar w:fldCharType="end"/>
                          </w:r>
                          <w:r>
                            <w:rPr>
                              <w:rFonts w:ascii="宋体" w:hAnsi="宋体"/>
                              <w:szCs w:val="20"/>
                            </w:rPr>
                            <w:t xml:space="preserve"> </w:t>
                          </w:r>
                        </w:p>
                      </w:txbxContent>
                    </wps:txbx>
                    <wps:bodyPr lIns="0" tIns="0" rIns="0" bIns="0" upright="1"/>
                  </wps:wsp>
                </a:graphicData>
              </a:graphic>
            </wp:anchor>
          </w:drawing>
        </mc:Choice>
        <mc:Fallback>
          <w:pict>
            <v:shape id="_x0000_s1026" o:spid="_x0000_s1026" o:spt="202" type="#_x0000_t202" style="position:absolute;left:0pt;margin-left:188.15pt;margin-top:-0.55pt;height:12.2pt;width:53.4pt;mso-position-horizontal-relative:margin;z-index:251659264;mso-width-relative:page;mso-height-relative:page;" filled="f" stroked="f" coordsize="21600,21600" o:gfxdata="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Mj0JU2QAAAAkBAAAPAAAAAAAAAAEAIAAAACIAAABkcnMvZG93bnJldi54bWxQSwEC&#10;FAAUAAAACACHTuJAB2e2EboBAABxAwAADgAAAAAAAAABACAAAAAoAQAAZHJzL2Uyb0RvYy54bWxQ&#10;SwUGAAAAAAYABgBZAQAAVAUAAAAA&#10;">
              <v:fill on="f" focussize="0,0"/>
              <v:stroke on="f"/>
              <v:imagedata o:title=""/>
              <o:lock v:ext="edit" aspectratio="f"/>
              <v:textbox inset="0mm,0mm,0mm,0mm">
                <w:txbxContent>
                  <w:p w14:paraId="53BC8F63">
                    <w:pPr>
                      <w:pStyle w:val="7"/>
                      <w:tabs>
                        <w:tab w:val="right" w:pos="8460"/>
                        <w:tab w:val="clear" w:pos="8306"/>
                      </w:tabs>
                      <w:ind w:right="-89" w:firstLine="420"/>
                      <w:jc w:val="cente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23</w:t>
                    </w:r>
                    <w:r>
                      <w:rPr>
                        <w:rFonts w:ascii="宋体" w:hAnsi="宋体"/>
                        <w:szCs w:val="20"/>
                      </w:rPr>
                      <w:fldChar w:fldCharType="end"/>
                    </w:r>
                    <w:r>
                      <w:rPr>
                        <w:rFonts w:ascii="宋体" w:hAnsi="宋体"/>
                        <w:szCs w:val="20"/>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644C3">
    <w:pPr>
      <w:pStyle w:val="7"/>
      <w:tabs>
        <w:tab w:val="right" w:pos="8460"/>
        <w:tab w:val="clear" w:pos="8306"/>
      </w:tabs>
      <w:ind w:right="-89" w:firstLine="420"/>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posOffset>2389505</wp:posOffset>
              </wp:positionH>
              <wp:positionV relativeFrom="paragraph">
                <wp:posOffset>-6985</wp:posOffset>
              </wp:positionV>
              <wp:extent cx="739140" cy="15494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39140" cy="154940"/>
                      </a:xfrm>
                      <a:prstGeom prst="rect">
                        <a:avLst/>
                      </a:prstGeom>
                      <a:noFill/>
                      <a:ln>
                        <a:noFill/>
                      </a:ln>
                    </wps:spPr>
                    <wps:txbx>
                      <w:txbxContent>
                        <w:p w14:paraId="1BB8D1AA">
                          <w:pPr>
                            <w:pStyle w:val="7"/>
                            <w:tabs>
                              <w:tab w:val="right" w:pos="8460"/>
                              <w:tab w:val="clear" w:pos="8306"/>
                            </w:tabs>
                            <w:ind w:right="-89" w:firstLine="420"/>
                            <w:jc w:val="cente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24</w:t>
                          </w:r>
                          <w:r>
                            <w:rPr>
                              <w:rFonts w:ascii="宋体" w:hAnsi="宋体"/>
                              <w:szCs w:val="20"/>
                            </w:rPr>
                            <w:fldChar w:fldCharType="end"/>
                          </w:r>
                          <w:r>
                            <w:rPr>
                              <w:rFonts w:ascii="宋体" w:hAnsi="宋体"/>
                              <w:szCs w:val="20"/>
                            </w:rPr>
                            <w:t xml:space="preserve">  </w:t>
                          </w:r>
                        </w:p>
                      </w:txbxContent>
                    </wps:txbx>
                    <wps:bodyPr lIns="0" tIns="0" rIns="0" bIns="0" upright="1"/>
                  </wps:wsp>
                </a:graphicData>
              </a:graphic>
            </wp:anchor>
          </w:drawing>
        </mc:Choice>
        <mc:Fallback>
          <w:pict>
            <v:shape id="_x0000_s1026" o:spid="_x0000_s1026" o:spt="202" type="#_x0000_t202" style="position:absolute;left:0pt;margin-left:188.15pt;margin-top:-0.55pt;height:12.2pt;width:58.2pt;mso-position-horizontal-relative:margin;z-index:251659264;mso-width-relative:page;mso-height-relative:page;" filled="f" stroked="f" coordsize="21600,21600" o:gfxdata="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y9qmK2QAAAAkBAAAPAAAAAAAAAAEAIAAAACIAAABkcnMvZG93bnJldi54bWxQSwEC&#10;FAAUAAAACACHTuJAbHju3boBAABxAwAADgAAAAAAAAABACAAAAAoAQAAZHJzL2Uyb0RvYy54bWxQ&#10;SwUGAAAAAAYABgBZAQAAVAUAAAAA&#10;">
              <v:fill on="f" focussize="0,0"/>
              <v:stroke on="f"/>
              <v:imagedata o:title=""/>
              <o:lock v:ext="edit" aspectratio="f"/>
              <v:textbox inset="0mm,0mm,0mm,0mm">
                <w:txbxContent>
                  <w:p w14:paraId="1BB8D1AA">
                    <w:pPr>
                      <w:pStyle w:val="7"/>
                      <w:tabs>
                        <w:tab w:val="right" w:pos="8460"/>
                        <w:tab w:val="clear" w:pos="8306"/>
                      </w:tabs>
                      <w:ind w:right="-89" w:firstLine="420"/>
                      <w:jc w:val="cente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24</w:t>
                    </w:r>
                    <w:r>
                      <w:rPr>
                        <w:rFonts w:ascii="宋体" w:hAnsi="宋体"/>
                        <w:szCs w:val="20"/>
                      </w:rPr>
                      <w:fldChar w:fldCharType="end"/>
                    </w:r>
                    <w:r>
                      <w:rPr>
                        <w:rFonts w:ascii="宋体" w:hAnsi="宋体"/>
                        <w:szCs w:val="20"/>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3D8CA">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E74E5">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8B626"/>
    <w:multiLevelType w:val="singleLevel"/>
    <w:tmpl w:val="A178B626"/>
    <w:lvl w:ilvl="0" w:tentative="0">
      <w:start w:val="1"/>
      <w:numFmt w:val="decimal"/>
      <w:suff w:val="nothing"/>
      <w:lvlText w:val="%1、"/>
      <w:lvlJc w:val="left"/>
    </w:lvl>
  </w:abstractNum>
  <w:abstractNum w:abstractNumId="1">
    <w:nsid w:val="D3D2A7FA"/>
    <w:multiLevelType w:val="multilevel"/>
    <w:tmpl w:val="D3D2A7FA"/>
    <w:lvl w:ilvl="0" w:tentative="0">
      <w:start w:val="1"/>
      <w:numFmt w:val="upperLetter"/>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2">
    <w:nsid w:val="D4B1200F"/>
    <w:multiLevelType w:val="multilevel"/>
    <w:tmpl w:val="D4B1200F"/>
    <w:lvl w:ilvl="0" w:tentative="0">
      <w:start w:val="1"/>
      <w:numFmt w:val="decimal"/>
      <w:lvlText w:val="%1)"/>
      <w:lvlJc w:val="left"/>
      <w:pPr>
        <w:tabs>
          <w:tab w:val="left" w:pos="312"/>
        </w:tabs>
        <w:ind w:left="48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377A173"/>
    <w:multiLevelType w:val="singleLevel"/>
    <w:tmpl w:val="3377A173"/>
    <w:lvl w:ilvl="0" w:tentative="0">
      <w:start w:val="6"/>
      <w:numFmt w:val="decimal"/>
      <w:suff w:val="nothing"/>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25B6E"/>
    <w:rsid w:val="1D682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jc w:val="center"/>
    </w:pPr>
    <w:rPr>
      <w:rFonts w:ascii="幼圆" w:hAnsi="新宋体" w:eastAsia="幼圆"/>
      <w:b/>
      <w:bCs/>
      <w:sz w:val="84"/>
      <w:szCs w:val="20"/>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w:basedOn w:val="3"/>
    <w:qFormat/>
    <w:uiPriority w:val="0"/>
    <w:pPr>
      <w:spacing w:after="120"/>
      <w:ind w:firstLine="420" w:firstLineChars="100"/>
      <w:jc w:val="both"/>
    </w:pPr>
    <w:rPr>
      <w:rFonts w:ascii="Times New Roman" w:hAnsi="Times New Roman" w:eastAsia="宋体"/>
      <w:b w:val="0"/>
      <w:bCs w:val="0"/>
      <w:sz w:val="21"/>
      <w:szCs w:val="24"/>
    </w:rPr>
  </w:style>
  <w:style w:type="paragraph" w:styleId="11">
    <w:name w:val="Body Text First Indent 2"/>
    <w:basedOn w:val="4"/>
    <w:next w:val="1"/>
    <w:qFormat/>
    <w:uiPriority w:val="0"/>
    <w:pPr>
      <w:ind w:firstLine="420" w:firstLineChars="200"/>
    </w:p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8">
    <w:name w:val="font112"/>
    <w:basedOn w:val="14"/>
    <w:qFormat/>
    <w:uiPriority w:val="0"/>
    <w:rPr>
      <w:rFonts w:hint="eastAsia" w:ascii="宋体" w:hAnsi="宋体" w:eastAsia="宋体" w:cs="宋体"/>
      <w:color w:val="FF0000"/>
      <w:sz w:val="20"/>
      <w:szCs w:val="20"/>
      <w:u w:val="none"/>
    </w:rPr>
  </w:style>
  <w:style w:type="character" w:customStyle="1" w:styleId="19">
    <w:name w:val="font51"/>
    <w:basedOn w:val="14"/>
    <w:qFormat/>
    <w:uiPriority w:val="0"/>
    <w:rPr>
      <w:rFonts w:hint="eastAsia" w:ascii="宋体" w:hAnsi="宋体" w:eastAsia="宋体" w:cs="宋体"/>
      <w:color w:val="000000"/>
      <w:sz w:val="20"/>
      <w:szCs w:val="20"/>
      <w:u w:val="none"/>
    </w:rPr>
  </w:style>
  <w:style w:type="paragraph" w:customStyle="1" w:styleId="20">
    <w:name w:val="ds-markdown-paragraph"/>
    <w:basedOn w:val="1"/>
    <w:qFormat/>
    <w:uiPriority w:val="0"/>
    <w:pPr>
      <w:widowControl/>
      <w:spacing w:beforeAutospacing="1" w:afterAutospacing="1"/>
      <w:jc w:val="left"/>
    </w:pPr>
    <w:rPr>
      <w:rFonts w:hint="eastAsia" w:ascii="宋体" w:hAnsi="宋体"/>
      <w:kern w:val="0"/>
      <w:sz w:val="24"/>
      <w:szCs w:val="24"/>
    </w:rPr>
  </w:style>
  <w:style w:type="paragraph" w:customStyle="1" w:styleId="21">
    <w:name w:val="p0"/>
    <w:basedOn w:val="1"/>
    <w:qFormat/>
    <w:uiPriority w:val="0"/>
    <w:pPr>
      <w:widowControl/>
    </w:pPr>
    <w:rPr>
      <w:kern w:val="0"/>
      <w:szCs w:val="21"/>
    </w:rPr>
  </w:style>
  <w:style w:type="paragraph" w:customStyle="1" w:styleId="22">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17279</Words>
  <Characters>18561</Characters>
  <Lines>0</Lines>
  <Paragraphs>0</Paragraphs>
  <TotalTime>16</TotalTime>
  <ScaleCrop>false</ScaleCrop>
  <LinksUpToDate>false</LinksUpToDate>
  <CharactersWithSpaces>18804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2026-03-17T09:19:00Z</dcterms:created>
  <dc:creator>Dell</dc:creator>
  <cp:lastModifiedBy>陈</cp:lastModifiedBy>
  <dcterms:modified xsi:type="dcterms:W3CDTF">2026-03-18T06:27:58Z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8571DE3F4D6741EE9B997386AE60C015_12</vt:lpwstr>
  </property>
</Properties>
</file>